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D47689" w:rsidP="00C00945">
      <w:pPr>
        <w:pStyle w:val="berschrift1"/>
        <w:rPr>
          <w:rFonts w:ascii="Tahoma" w:hAnsi="Tahoma" w:cs="Tahoma"/>
          <w:color w:val="auto"/>
        </w:rPr>
      </w:pPr>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1138555</wp:posOffset>
            </wp:positionH>
            <wp:positionV relativeFrom="paragraph">
              <wp:posOffset>429895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26.9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0254466" r:id="rId10"/>
        </w:object>
      </w:r>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bookmarkStart w:id="0" w:name="_GoBack"/>
      <w:bookmarkEnd w:id="0"/>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D47689" w:rsidRDefault="00D47689" w:rsidP="00C00945">
      <w:pPr>
        <w:spacing w:line="276" w:lineRule="auto"/>
        <w:jc w:val="left"/>
        <w:rPr>
          <w:rFonts w:eastAsia="Calibri" w:cs="Tahoma"/>
          <w:b/>
          <w:sz w:val="32"/>
          <w:szCs w:val="22"/>
        </w:rPr>
      </w:pPr>
    </w:p>
    <w:p w:rsidR="00C00945" w:rsidRPr="00C97080" w:rsidRDefault="00C00945"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683737" w:rsidRDefault="00683737" w:rsidP="00C00945">
      <w:pPr>
        <w:spacing w:line="276" w:lineRule="auto"/>
        <w:jc w:val="center"/>
        <w:rPr>
          <w:rFonts w:eastAsia="Calibri" w:cs="Tahoma"/>
          <w:sz w:val="28"/>
          <w:szCs w:val="22"/>
        </w:rPr>
      </w:pPr>
      <w:r w:rsidRPr="00683737">
        <w:rPr>
          <w:rFonts w:eastAsia="Calibri" w:cs="Tahoma"/>
          <w:sz w:val="28"/>
          <w:szCs w:val="22"/>
        </w:rPr>
        <w:t xml:space="preserve">Key Account und Pharma-Marketing </w:t>
      </w:r>
    </w:p>
    <w:p w:rsidR="00C00945" w:rsidRDefault="00A57358" w:rsidP="00C00945">
      <w:pPr>
        <w:spacing w:line="276" w:lineRule="auto"/>
        <w:jc w:val="center"/>
        <w:rPr>
          <w:rFonts w:eastAsia="Calibri" w:cs="Tahoma"/>
          <w:sz w:val="28"/>
          <w:szCs w:val="22"/>
        </w:rPr>
      </w:pPr>
      <w:r>
        <w:rPr>
          <w:rFonts w:eastAsia="Calibri" w:cs="Tahoma"/>
          <w:sz w:val="28"/>
          <w:szCs w:val="22"/>
        </w:rPr>
        <w:t xml:space="preserve">Modul </w:t>
      </w:r>
      <w:r w:rsidR="00683737" w:rsidRPr="00683737">
        <w:rPr>
          <w:rFonts w:eastAsia="Calibri" w:cs="Tahoma"/>
          <w:sz w:val="28"/>
          <w:szCs w:val="22"/>
        </w:rPr>
        <w:t>2.2b</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(Master of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Pr="00C97080"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D47689" w:rsidRDefault="00D47689" w:rsidP="00C00945">
      <w:pPr>
        <w:pStyle w:val="KeinLeerraum"/>
      </w:pPr>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683737" w:rsidP="00C00945">
            <w:pPr>
              <w:spacing w:after="0" w:line="240" w:lineRule="auto"/>
              <w:jc w:val="left"/>
              <w:rPr>
                <w:rFonts w:eastAsia="Calibri" w:cs="Tahoma"/>
                <w:color w:val="CA5A3C"/>
                <w:szCs w:val="22"/>
              </w:rPr>
            </w:pPr>
            <w:r w:rsidRPr="00683737">
              <w:rPr>
                <w:rFonts w:eastAsia="Calibri" w:cs="Tahoma"/>
                <w:color w:val="CA5A3C"/>
                <w:szCs w:val="22"/>
              </w:rPr>
              <w:t>2.2b</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683737" w:rsidP="00C00945">
            <w:pPr>
              <w:spacing w:after="0" w:line="240" w:lineRule="auto"/>
              <w:jc w:val="left"/>
              <w:rPr>
                <w:rFonts w:eastAsia="Calibri" w:cs="Tahoma"/>
                <w:color w:val="CA5A3C"/>
                <w:szCs w:val="22"/>
              </w:rPr>
            </w:pPr>
            <w:r w:rsidRPr="00683737">
              <w:rPr>
                <w:rFonts w:eastAsia="Calibri" w:cs="Tahoma"/>
                <w:color w:val="CA5A3C"/>
                <w:szCs w:val="22"/>
              </w:rPr>
              <w:t>Key Account und Pharma-Marketing</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683737" w:rsidP="00C00945">
            <w:pPr>
              <w:spacing w:after="0" w:line="240" w:lineRule="auto"/>
              <w:jc w:val="left"/>
              <w:rPr>
                <w:rFonts w:eastAsia="Calibri" w:cs="Tahoma"/>
                <w:color w:val="CA5A3C"/>
                <w:szCs w:val="22"/>
              </w:rPr>
            </w:pPr>
            <w:r>
              <w:rPr>
                <w:rFonts w:eastAsia="Calibri" w:cs="Tahoma"/>
                <w:color w:val="CA5A3C"/>
                <w:szCs w:val="22"/>
              </w:rPr>
              <w:t>3</w:t>
            </w:r>
            <w:r w:rsidR="00B82CF9" w:rsidRPr="00217746">
              <w:rPr>
                <w:rFonts w:eastAsia="Calibri" w:cs="Tahoma"/>
                <w:color w:val="CA5A3C"/>
                <w:szCs w:val="22"/>
              </w:rPr>
              <w:t xml:space="preserve">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B82CF9" w:rsidP="00F652CE">
            <w:pPr>
              <w:spacing w:after="0" w:line="240" w:lineRule="auto"/>
              <w:jc w:val="left"/>
              <w:rPr>
                <w:rFonts w:eastAsia="Calibri" w:cs="Tahoma"/>
                <w:color w:val="CA5A3C"/>
                <w:szCs w:val="22"/>
              </w:rPr>
            </w:pPr>
            <w:r w:rsidRPr="00217746">
              <w:rPr>
                <w:rFonts w:eastAsia="Calibri" w:cs="Tahoma"/>
                <w:color w:val="CA5A3C"/>
                <w:szCs w:val="22"/>
              </w:rPr>
              <w:t>Deutsch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5B54D6" w:rsidRPr="00F652CE" w:rsidRDefault="00683737" w:rsidP="00C00945">
            <w:pPr>
              <w:spacing w:after="0" w:line="240" w:lineRule="auto"/>
              <w:jc w:val="left"/>
              <w:rPr>
                <w:rFonts w:eastAsia="Calibri" w:cs="Tahoma"/>
                <w:color w:val="CA5A3C"/>
                <w:szCs w:val="22"/>
              </w:rPr>
            </w:pPr>
            <w:r w:rsidRPr="00683737">
              <w:rPr>
                <w:rFonts w:eastAsia="Calibri" w:cs="Tahoma"/>
                <w:color w:val="CA5A3C"/>
                <w:szCs w:val="22"/>
              </w:rPr>
              <w:t>Prof. Dr. Chrystelle Mavoungou</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5B54D6" w:rsidRPr="00217746" w:rsidRDefault="00683737" w:rsidP="00F652CE">
            <w:pPr>
              <w:spacing w:after="0" w:line="240" w:lineRule="auto"/>
              <w:jc w:val="left"/>
              <w:rPr>
                <w:rFonts w:eastAsia="Calibri" w:cs="Tahoma"/>
                <w:color w:val="CA5A3C"/>
                <w:szCs w:val="22"/>
              </w:rPr>
            </w:pPr>
            <w:r w:rsidRPr="00683737">
              <w:rPr>
                <w:rFonts w:eastAsia="Calibri" w:cs="Tahoma"/>
                <w:color w:val="CA5A3C"/>
                <w:szCs w:val="22"/>
              </w:rPr>
              <w:t>Tobias Weizel</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(M.Sc.)</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F652CE"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683737" w:rsidRP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Das Modul Key Account und Pharma-Marketing vermittelt den Studierenden Kompetenzen und ein fundiertes Fachwissen über das Key Account Management in der pharmazeutischen und Medizinproduktindustrie. Sie erlangen Kenntnisse im Pharmamarketing, verstehen die Produkt- und Preispolitik, die Vertriebspolitik sowie die Promotion in der EU.</w:t>
            </w:r>
          </w:p>
          <w:p w:rsidR="00683737" w:rsidRP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Sie verfügen über Marktkenntnisse und sind in der Lage internen Abteilungen z.B.:  Vertrieb, Marketing, Marktforschung und ggfs. die wissenschaftlichen Abteilungen, einschließlich Forschung und Entwicklung zu unterstützen.</w:t>
            </w:r>
          </w:p>
          <w:p w:rsidR="005B54D6" w:rsidRPr="00217746" w:rsidRDefault="00683737" w:rsidP="00683737">
            <w:pPr>
              <w:spacing w:after="0" w:line="240" w:lineRule="auto"/>
              <w:jc w:val="left"/>
              <w:rPr>
                <w:rFonts w:eastAsia="Calibri" w:cs="Tahoma"/>
                <w:color w:val="CA5A3C"/>
                <w:szCs w:val="22"/>
              </w:rPr>
            </w:pPr>
            <w:r w:rsidRPr="00683737">
              <w:rPr>
                <w:rFonts w:eastAsia="Calibri" w:cs="Tahoma"/>
                <w:color w:val="CA5A3C"/>
                <w:szCs w:val="22"/>
              </w:rPr>
              <w:t>Sie können Personen, Gruppen oder Institutionen, die für aktuell - im Verhältnis gesehen – größere bzw. große Umsatzvolumina stehen oder diese beeinflussen können, oder sich in Zukunft in dieser Richtung entwickeln, betreuen.</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Inhalte</w:t>
            </w:r>
          </w:p>
        </w:tc>
        <w:tc>
          <w:tcPr>
            <w:tcW w:w="6237" w:type="dxa"/>
            <w:shd w:val="clear" w:color="auto" w:fill="F1D5CE"/>
          </w:tcPr>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Pharmamarkt in der EU und in Auszügen den USA,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Japan und Rest der Welt</w:t>
            </w:r>
          </w:p>
          <w:p w:rsidR="00683737" w:rsidRP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Gesundheitswesen vs. Gesundheitsmarkt</w:t>
            </w:r>
          </w:p>
          <w:p w:rsidR="00683737" w:rsidRP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Voraussetzung für Account Management</w:t>
            </w:r>
          </w:p>
          <w:p w:rsidR="00683737" w:rsidRP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Arten von Accounts</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Biopharma Key Accounts: Key Account Strukturen und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Key Account Management Prozesse</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Ziele und Strategien für das Pharma Key Account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Management</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Grundlagen des Pharmamarketings und Abgrenzung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gegenüber Consumer Marketing</w:t>
            </w:r>
          </w:p>
          <w:p w:rsidR="005B54D6" w:rsidRPr="00217746"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Verständnis des „Kunden“ Arzt und Patient</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Literatur</w:t>
            </w:r>
          </w:p>
        </w:tc>
        <w:tc>
          <w:tcPr>
            <w:tcW w:w="6237" w:type="dxa"/>
          </w:tcPr>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R. Seiler &amp; H. Wolfram, Pharma Key Account </w:t>
            </w:r>
          </w:p>
          <w:p w:rsid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 xml:space="preserve">Management, 2011, Medizinisch Wissenschaftliche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 xml:space="preserve">Verlagsgesellschaft mbH &amp; Co KG. </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C. Belz, M. Müllner, D. Zupancic, Spitzenleistungen im </w:t>
            </w:r>
          </w:p>
          <w:p w:rsid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Key Account Management: Das St. Galler KAM-</w:t>
            </w:r>
          </w:p>
          <w:p w:rsid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 xml:space="preserve">Konzept, 3. Auf-lage, 2014, Verlag Franz Vahlen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München</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MathiasDroll: Kundenpriorisierung in der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Marktbearbei-tung,Wiesbaden 2008</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HartmutH.Biesel:Key Account Management erfolgreich </w:t>
            </w:r>
          </w:p>
          <w:p w:rsidR="00683737" w:rsidRPr="00683737"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Pr>
                <w:rFonts w:eastAsia="Calibri" w:cs="Tahoma"/>
                <w:color w:val="CA5A3C"/>
                <w:szCs w:val="22"/>
              </w:rPr>
              <w:t>pla</w:t>
            </w:r>
            <w:r w:rsidR="00683737" w:rsidRPr="00683737">
              <w:rPr>
                <w:rFonts w:eastAsia="Calibri" w:cs="Tahoma"/>
                <w:color w:val="CA5A3C"/>
                <w:szCs w:val="22"/>
              </w:rPr>
              <w:t>nen und umsetzen, 2. Auﬂage, Wiesbaden 2009</w:t>
            </w:r>
          </w:p>
          <w:p w:rsidR="00683737" w:rsidRDefault="00683737" w:rsidP="00683737">
            <w:pPr>
              <w:spacing w:after="0" w:line="240" w:lineRule="auto"/>
              <w:jc w:val="left"/>
              <w:rPr>
                <w:rFonts w:eastAsia="Calibri" w:cs="Tahoma"/>
                <w:color w:val="CA5A3C"/>
                <w:szCs w:val="22"/>
              </w:rPr>
            </w:pPr>
            <w:r w:rsidRPr="00683737">
              <w:rPr>
                <w:rFonts w:eastAsia="Calibri" w:cs="Tahoma"/>
                <w:color w:val="CA5A3C"/>
                <w:szCs w:val="22"/>
              </w:rPr>
              <w:t>-</w:t>
            </w:r>
            <w:r w:rsidRPr="00683737">
              <w:rPr>
                <w:rFonts w:eastAsia="Calibri" w:cs="Tahoma"/>
                <w:color w:val="CA5A3C"/>
                <w:szCs w:val="22"/>
              </w:rPr>
              <w:tab/>
              <w:t xml:space="preserve">K. Kotler, G. Armstrong, et.al.: Grundlagen des </w:t>
            </w:r>
          </w:p>
          <w:p w:rsidR="005B54D6" w:rsidRPr="00217746" w:rsidRDefault="00286F67" w:rsidP="00683737">
            <w:pPr>
              <w:spacing w:after="0" w:line="240" w:lineRule="auto"/>
              <w:jc w:val="left"/>
              <w:rPr>
                <w:rFonts w:eastAsia="Calibri" w:cs="Tahoma"/>
                <w:color w:val="CA5A3C"/>
                <w:szCs w:val="22"/>
              </w:rPr>
            </w:pPr>
            <w:r w:rsidRPr="00286F67">
              <w:rPr>
                <w:rFonts w:eastAsia="Calibri" w:cs="Tahoma"/>
                <w:color w:val="CA5A3C"/>
                <w:szCs w:val="22"/>
              </w:rPr>
              <w:tab/>
            </w:r>
            <w:r w:rsidR="00683737" w:rsidRPr="00683737">
              <w:rPr>
                <w:rFonts w:eastAsia="Calibri" w:cs="Tahoma"/>
                <w:color w:val="CA5A3C"/>
                <w:szCs w:val="22"/>
              </w:rPr>
              <w:t>Marketing, 6., aktualisierte Auflage 2016</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Präsenzveranstaltungen:</w:t>
            </w:r>
          </w:p>
          <w:p w:rsidR="00B82CF9" w:rsidRPr="00217746" w:rsidRDefault="00683737" w:rsidP="00687339">
            <w:pPr>
              <w:spacing w:after="0" w:line="240" w:lineRule="auto"/>
              <w:jc w:val="left"/>
              <w:rPr>
                <w:rFonts w:eastAsia="Calibri" w:cs="Tahoma"/>
                <w:color w:val="CA5A3C"/>
                <w:szCs w:val="22"/>
              </w:rPr>
            </w:pPr>
            <w:r>
              <w:rPr>
                <w:rFonts w:eastAsia="Calibri" w:cs="Tahoma"/>
                <w:color w:val="CA5A3C"/>
                <w:szCs w:val="22"/>
              </w:rPr>
              <w:t>-</w:t>
            </w:r>
            <w:r>
              <w:rPr>
                <w:rFonts w:eastAsia="Calibri" w:cs="Tahoma"/>
                <w:color w:val="CA5A3C"/>
                <w:szCs w:val="22"/>
              </w:rPr>
              <w:tab/>
            </w:r>
            <w:r w:rsidR="00286F67">
              <w:rPr>
                <w:rFonts w:eastAsia="Calibri" w:cs="Tahoma"/>
                <w:color w:val="CA5A3C"/>
                <w:szCs w:val="22"/>
              </w:rPr>
              <w:t>Modulprüfung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lastRenderedPageBreak/>
              <w:t>-</w:t>
            </w:r>
            <w:r w:rsidRPr="00217746">
              <w:rPr>
                <w:rFonts w:eastAsia="Calibri" w:cs="Tahoma"/>
                <w:color w:val="CA5A3C"/>
                <w:szCs w:val="22"/>
              </w:rPr>
              <w:tab/>
              <w:t>Online-Sprechstunde</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5B54D6" w:rsidRPr="00217746" w:rsidRDefault="00683737" w:rsidP="00B82CF9">
            <w:pPr>
              <w:spacing w:after="0" w:line="240" w:lineRule="auto"/>
              <w:jc w:val="left"/>
              <w:rPr>
                <w:rFonts w:eastAsia="Calibri" w:cs="Tahoma"/>
                <w:color w:val="CA5A3C"/>
                <w:szCs w:val="22"/>
              </w:rPr>
            </w:pPr>
            <w:r>
              <w:rPr>
                <w:rFonts w:eastAsia="Calibri" w:cs="Tahoma"/>
                <w:color w:val="CA5A3C"/>
                <w:szCs w:val="22"/>
              </w:rPr>
              <w:t>Summe: 90</w:t>
            </w:r>
            <w:r w:rsidR="00B82CF9" w:rsidRPr="00217746">
              <w:rPr>
                <w:rFonts w:eastAsia="Calibri" w:cs="Tahoma"/>
                <w:color w:val="CA5A3C"/>
                <w:szCs w:val="22"/>
              </w:rPr>
              <w:t xml:space="preserve">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Prüfungsform</w:t>
            </w:r>
          </w:p>
        </w:tc>
        <w:tc>
          <w:tcPr>
            <w:tcW w:w="6237" w:type="dxa"/>
          </w:tcPr>
          <w:p w:rsidR="00217746" w:rsidRPr="00217746" w:rsidRDefault="00683737" w:rsidP="00C73F4E">
            <w:pPr>
              <w:spacing w:after="0" w:line="240" w:lineRule="auto"/>
              <w:jc w:val="left"/>
              <w:rPr>
                <w:rFonts w:eastAsia="Calibri" w:cs="Tahoma"/>
                <w:color w:val="CA5A3C"/>
                <w:szCs w:val="22"/>
              </w:rPr>
            </w:pPr>
            <w:r w:rsidRPr="00683737">
              <w:rPr>
                <w:rFonts w:eastAsia="Calibri" w:cs="Tahoma"/>
                <w:color w:val="CA5A3C"/>
                <w:szCs w:val="22"/>
              </w:rPr>
              <w:t xml:space="preserve">60 Min Klausur </w:t>
            </w:r>
          </w:p>
        </w:tc>
      </w:tr>
    </w:tbl>
    <w:p w:rsidR="008A2949" w:rsidRDefault="008A2949" w:rsidP="00057C84">
      <w:pPr>
        <w:spacing w:after="0" w:line="240" w:lineRule="auto"/>
        <w:jc w:val="left"/>
        <w:rPr>
          <w:rFonts w:eastAsia="Calibri" w:cs="Tahoma"/>
          <w:color w:val="F7CAAC" w:themeColor="accent2" w:themeTint="66"/>
          <w:szCs w:val="22"/>
        </w:rPr>
      </w:pPr>
    </w:p>
    <w:p w:rsidR="00A223E3" w:rsidRDefault="00A223E3">
      <w:pPr>
        <w:spacing w:after="160" w:line="259" w:lineRule="auto"/>
        <w:jc w:val="left"/>
        <w:rPr>
          <w:rFonts w:eastAsia="Calibri" w:cs="Tahoma"/>
          <w:color w:val="F7CAAC" w:themeColor="accent2" w:themeTint="66"/>
          <w:szCs w:val="22"/>
        </w:rPr>
        <w:sectPr w:rsidR="00A223E3" w:rsidSect="008A294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pPr>
    </w:p>
    <w:p w:rsidR="001312CA" w:rsidRPr="001312CA" w:rsidRDefault="001312CA" w:rsidP="001312CA">
      <w:pPr>
        <w:spacing w:after="0" w:line="280" w:lineRule="atLeast"/>
        <w:rPr>
          <w:rFonts w:eastAsia="MS PGothic" w:cs="Tahoma"/>
          <w:szCs w:val="22"/>
          <w:lang w:eastAsia="de-DE"/>
        </w:rPr>
      </w:pPr>
      <w:r w:rsidRPr="001312CA">
        <w:rPr>
          <w:rFonts w:eastAsia="MS PGothic" w:cs="Tahoma"/>
          <w:szCs w:val="22"/>
          <w:lang w:eastAsia="de-DE"/>
        </w:rPr>
        <w:lastRenderedPageBreak/>
        <w:t xml:space="preserve">Der Pharmamarkt, sowohl weltweit wie auch in Europa, hat sich in den vergangenen Jahrzenten deutlich geändert. Neben den vielen Änderungen im regulatorischen Umfeld, denen Sie sich in einem anderen Modul widmen, hat sich auch die Zusammensetzung des Marktes aufgrund der Innovationen stark verändert. Die Gesamtmenge der abgesetzten Arzneimittel, gemessen an den Packungszahlen, ist aber mehr oder weniger konstant geblieben über die Jahre. </w:t>
      </w:r>
    </w:p>
    <w:tbl>
      <w:tblPr>
        <w:tblStyle w:val="HelleSchattierung2"/>
        <w:tblW w:w="0" w:type="auto"/>
        <w:tblLook w:val="04A0" w:firstRow="1" w:lastRow="0" w:firstColumn="1" w:lastColumn="0" w:noHBand="0" w:noVBand="1"/>
      </w:tblPr>
      <w:tblGrid>
        <w:gridCol w:w="1861"/>
        <w:gridCol w:w="1082"/>
        <w:gridCol w:w="1083"/>
        <w:gridCol w:w="1083"/>
        <w:gridCol w:w="1083"/>
        <w:gridCol w:w="1388"/>
      </w:tblGrid>
      <w:tr w:rsidR="001312CA" w:rsidRPr="001312CA" w:rsidTr="00BA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p>
        </w:tc>
        <w:tc>
          <w:tcPr>
            <w:tcW w:w="1082" w:type="dxa"/>
          </w:tcPr>
          <w:p w:rsidR="001312CA" w:rsidRPr="001312CA" w:rsidRDefault="001312CA" w:rsidP="001312CA">
            <w:pPr>
              <w:spacing w:after="0" w:line="280" w:lineRule="atLeast"/>
              <w:jc w:val="right"/>
              <w:cnfStyle w:val="100000000000" w:firstRow="1"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2013</w:t>
            </w:r>
          </w:p>
        </w:tc>
        <w:tc>
          <w:tcPr>
            <w:tcW w:w="1083" w:type="dxa"/>
          </w:tcPr>
          <w:p w:rsidR="001312CA" w:rsidRPr="001312CA" w:rsidRDefault="001312CA" w:rsidP="001312CA">
            <w:pPr>
              <w:spacing w:after="0" w:line="280" w:lineRule="atLeast"/>
              <w:jc w:val="right"/>
              <w:cnfStyle w:val="100000000000" w:firstRow="1"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2014</w:t>
            </w:r>
          </w:p>
        </w:tc>
        <w:tc>
          <w:tcPr>
            <w:tcW w:w="1083" w:type="dxa"/>
          </w:tcPr>
          <w:p w:rsidR="001312CA" w:rsidRPr="001312CA" w:rsidRDefault="001312CA" w:rsidP="001312CA">
            <w:pPr>
              <w:spacing w:after="0" w:line="280" w:lineRule="atLeast"/>
              <w:jc w:val="right"/>
              <w:cnfStyle w:val="100000000000" w:firstRow="1"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2015</w:t>
            </w:r>
          </w:p>
        </w:tc>
        <w:tc>
          <w:tcPr>
            <w:tcW w:w="1083" w:type="dxa"/>
          </w:tcPr>
          <w:p w:rsidR="001312CA" w:rsidRPr="001312CA" w:rsidRDefault="001312CA" w:rsidP="001312CA">
            <w:pPr>
              <w:spacing w:after="0" w:line="280" w:lineRule="atLeast"/>
              <w:jc w:val="right"/>
              <w:cnfStyle w:val="100000000000" w:firstRow="1"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2016</w:t>
            </w:r>
          </w:p>
        </w:tc>
        <w:tc>
          <w:tcPr>
            <w:tcW w:w="1388" w:type="dxa"/>
          </w:tcPr>
          <w:p w:rsidR="001312CA" w:rsidRPr="001312CA" w:rsidRDefault="001312CA" w:rsidP="001312CA">
            <w:pPr>
              <w:spacing w:after="0" w:line="280" w:lineRule="atLeast"/>
              <w:jc w:val="right"/>
              <w:cnfStyle w:val="100000000000" w:firstRow="1"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Veränderung Vorjahr in %</w:t>
            </w:r>
          </w:p>
        </w:tc>
      </w:tr>
      <w:tr w:rsidR="001312CA" w:rsidRPr="001312CA" w:rsidTr="0013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Gesamt</w:t>
            </w:r>
          </w:p>
        </w:tc>
        <w:tc>
          <w:tcPr>
            <w:tcW w:w="1082"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1.637,7</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1.597,5</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1.614,8</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1.607,8</w:t>
            </w:r>
          </w:p>
        </w:tc>
        <w:tc>
          <w:tcPr>
            <w:tcW w:w="1388"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-0,43</w:t>
            </w:r>
          </w:p>
        </w:tc>
      </w:tr>
      <w:tr w:rsidR="001312CA" w:rsidRPr="001312CA" w:rsidTr="00BA00BF">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Arzneimittel human</w:t>
            </w:r>
          </w:p>
        </w:tc>
        <w:tc>
          <w:tcPr>
            <w:tcW w:w="1082"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1.263,8</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1.235,1</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1.244,1</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1.247,1</w:t>
            </w:r>
          </w:p>
        </w:tc>
        <w:tc>
          <w:tcPr>
            <w:tcW w:w="1388"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0,23</w:t>
            </w:r>
          </w:p>
        </w:tc>
      </w:tr>
      <w:tr w:rsidR="001312CA" w:rsidRPr="001312CA" w:rsidTr="0013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Übrige*</w:t>
            </w:r>
          </w:p>
        </w:tc>
        <w:tc>
          <w:tcPr>
            <w:tcW w:w="1082"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133,2</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131,8</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132,5</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132,4</w:t>
            </w:r>
          </w:p>
        </w:tc>
        <w:tc>
          <w:tcPr>
            <w:tcW w:w="1388"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-0,13</w:t>
            </w:r>
          </w:p>
        </w:tc>
      </w:tr>
      <w:tr w:rsidR="001312CA" w:rsidRPr="001312CA" w:rsidTr="00BA00BF">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Phytopharmaka</w:t>
            </w:r>
          </w:p>
        </w:tc>
        <w:tc>
          <w:tcPr>
            <w:tcW w:w="1082"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131,5</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120,5</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128,4</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119,3</w:t>
            </w:r>
          </w:p>
        </w:tc>
        <w:tc>
          <w:tcPr>
            <w:tcW w:w="1388"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-7,05</w:t>
            </w:r>
          </w:p>
        </w:tc>
      </w:tr>
      <w:tr w:rsidR="001312CA" w:rsidRPr="001312CA" w:rsidTr="0013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Homöopathika</w:t>
            </w:r>
          </w:p>
        </w:tc>
        <w:tc>
          <w:tcPr>
            <w:tcW w:w="1082"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49,5</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49,7</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48,9</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47,1</w:t>
            </w:r>
          </w:p>
        </w:tc>
        <w:tc>
          <w:tcPr>
            <w:tcW w:w="1388"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-3,73</w:t>
            </w:r>
          </w:p>
        </w:tc>
      </w:tr>
      <w:tr w:rsidR="001312CA" w:rsidRPr="001312CA" w:rsidTr="00BA00BF">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Diagnostika</w:t>
            </w:r>
          </w:p>
        </w:tc>
        <w:tc>
          <w:tcPr>
            <w:tcW w:w="1082"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32,6</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32,8</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32,3</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32,7</w:t>
            </w:r>
          </w:p>
        </w:tc>
        <w:tc>
          <w:tcPr>
            <w:tcW w:w="1388"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1,19</w:t>
            </w:r>
          </w:p>
        </w:tc>
      </w:tr>
      <w:tr w:rsidR="001312CA" w:rsidRPr="001312CA" w:rsidTr="0013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Biopharmazeutika</w:t>
            </w:r>
          </w:p>
        </w:tc>
        <w:tc>
          <w:tcPr>
            <w:tcW w:w="1082"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17,6</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18,0</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18,3</w:t>
            </w:r>
          </w:p>
        </w:tc>
        <w:tc>
          <w:tcPr>
            <w:tcW w:w="1083"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19,1</w:t>
            </w:r>
          </w:p>
        </w:tc>
        <w:tc>
          <w:tcPr>
            <w:tcW w:w="1388" w:type="dxa"/>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8"/>
                <w:szCs w:val="18"/>
              </w:rPr>
            </w:pPr>
            <w:r w:rsidRPr="001312CA">
              <w:rPr>
                <w:rFonts w:cs="Tahoma"/>
                <w:sz w:val="18"/>
                <w:szCs w:val="18"/>
              </w:rPr>
              <w:t>4,25</w:t>
            </w:r>
          </w:p>
        </w:tc>
      </w:tr>
      <w:tr w:rsidR="001312CA" w:rsidRPr="001312CA" w:rsidTr="00BA00BF">
        <w:tc>
          <w:tcPr>
            <w:cnfStyle w:val="001000000000" w:firstRow="0" w:lastRow="0" w:firstColumn="1" w:lastColumn="0" w:oddVBand="0" w:evenVBand="0" w:oddHBand="0" w:evenHBand="0" w:firstRowFirstColumn="0" w:firstRowLastColumn="0" w:lastRowFirstColumn="0" w:lastRowLastColumn="0"/>
            <w:tcW w:w="1861" w:type="dxa"/>
          </w:tcPr>
          <w:p w:rsidR="001312CA" w:rsidRPr="001312CA" w:rsidRDefault="001312CA" w:rsidP="001312CA">
            <w:pPr>
              <w:spacing w:after="0" w:line="280" w:lineRule="atLeast"/>
              <w:rPr>
                <w:rFonts w:cs="Tahoma"/>
                <w:sz w:val="18"/>
                <w:szCs w:val="18"/>
              </w:rPr>
            </w:pPr>
            <w:r w:rsidRPr="001312CA">
              <w:rPr>
                <w:rFonts w:cs="Tahoma"/>
                <w:sz w:val="18"/>
                <w:szCs w:val="18"/>
              </w:rPr>
              <w:t>Anthroposophika</w:t>
            </w:r>
          </w:p>
        </w:tc>
        <w:tc>
          <w:tcPr>
            <w:tcW w:w="1082"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9,5</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9,6</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10,2</w:t>
            </w:r>
          </w:p>
        </w:tc>
        <w:tc>
          <w:tcPr>
            <w:tcW w:w="1083"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10,1</w:t>
            </w:r>
          </w:p>
        </w:tc>
        <w:tc>
          <w:tcPr>
            <w:tcW w:w="1388" w:type="dxa"/>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1312CA">
              <w:rPr>
                <w:rFonts w:cs="Tahoma"/>
                <w:sz w:val="18"/>
                <w:szCs w:val="18"/>
              </w:rPr>
              <w:t>-0,31</w:t>
            </w:r>
          </w:p>
        </w:tc>
      </w:tr>
    </w:tbl>
    <w:p w:rsidR="001312CA" w:rsidRPr="001312CA" w:rsidRDefault="001312CA" w:rsidP="001312CA">
      <w:pPr>
        <w:spacing w:after="0" w:line="280" w:lineRule="atLeast"/>
        <w:rPr>
          <w:rFonts w:eastAsia="MS PGothic" w:cs="Times New Roman"/>
          <w:color w:val="7F7F7F"/>
          <w:sz w:val="19"/>
          <w:lang w:eastAsia="de-DE"/>
        </w:rPr>
      </w:pPr>
      <w:bookmarkStart w:id="1" w:name="_Toc526782790"/>
      <w:r w:rsidRPr="001312CA">
        <w:rPr>
          <w:rFonts w:eastAsia="MS PGothic" w:cs="Times New Roman"/>
          <w:color w:val="7F7F7F"/>
          <w:sz w:val="19"/>
          <w:lang w:eastAsia="de-DE"/>
        </w:rPr>
        <w:t xml:space="preserve">Abbildung </w:t>
      </w:r>
      <w:r w:rsidRPr="001312CA">
        <w:rPr>
          <w:rFonts w:eastAsia="MS PGothic" w:cs="Times New Roman"/>
          <w:color w:val="7F7F7F"/>
          <w:sz w:val="19"/>
          <w:lang w:eastAsia="de-DE"/>
        </w:rPr>
        <w:fldChar w:fldCharType="begin"/>
      </w:r>
      <w:r w:rsidRPr="001312CA">
        <w:rPr>
          <w:rFonts w:eastAsia="MS PGothic" w:cs="Times New Roman"/>
          <w:color w:val="7F7F7F"/>
          <w:sz w:val="19"/>
          <w:lang w:eastAsia="de-DE"/>
        </w:rPr>
        <w:instrText xml:space="preserve"> SEQ Abbildung \* ARABIC </w:instrText>
      </w:r>
      <w:r w:rsidRPr="001312CA">
        <w:rPr>
          <w:rFonts w:eastAsia="MS PGothic" w:cs="Times New Roman"/>
          <w:color w:val="7F7F7F"/>
          <w:sz w:val="19"/>
          <w:lang w:eastAsia="de-DE"/>
        </w:rPr>
        <w:fldChar w:fldCharType="separate"/>
      </w:r>
      <w:r w:rsidRPr="001312CA">
        <w:rPr>
          <w:rFonts w:eastAsia="MS PGothic" w:cs="Times New Roman"/>
          <w:noProof/>
          <w:color w:val="7F7F7F"/>
          <w:sz w:val="19"/>
          <w:lang w:eastAsia="de-DE"/>
        </w:rPr>
        <w:t>1</w:t>
      </w:r>
      <w:r w:rsidRPr="001312CA">
        <w:rPr>
          <w:rFonts w:eastAsia="MS PGothic" w:cs="Times New Roman"/>
          <w:color w:val="7F7F7F"/>
          <w:sz w:val="19"/>
          <w:lang w:eastAsia="de-DE"/>
        </w:rPr>
        <w:fldChar w:fldCharType="end"/>
      </w:r>
      <w:r w:rsidRPr="001312CA">
        <w:rPr>
          <w:rFonts w:eastAsia="MS PGothic" w:cs="Times New Roman"/>
          <w:color w:val="7F7F7F"/>
          <w:sz w:val="19"/>
          <w:lang w:eastAsia="de-DE"/>
        </w:rPr>
        <w:t>: Absatzentwicklung der Arzneimittelsegmente</w:t>
      </w:r>
      <w:bookmarkEnd w:id="1"/>
      <w:r w:rsidRPr="001312CA">
        <w:rPr>
          <w:rFonts w:eastAsia="MS PGothic" w:cs="Times New Roman"/>
          <w:color w:val="7F7F7F"/>
          <w:sz w:val="19"/>
          <w:lang w:eastAsia="de-DE"/>
        </w:rPr>
        <w:t xml:space="preserve"> nach Zusatzklassen 2013-2016 (in Mio. Packungen) im Apothekenmarkt.</w:t>
      </w:r>
      <w:r w:rsidRPr="001312CA">
        <w:rPr>
          <w:rFonts w:eastAsia="MS PGothic" w:cs="Times New Roman"/>
          <w:color w:val="7F7F7F"/>
          <w:sz w:val="19"/>
          <w:vertAlign w:val="superscript"/>
          <w:lang w:eastAsia="de-DE"/>
        </w:rPr>
        <w:footnoteReference w:id="1"/>
      </w:r>
      <w:r w:rsidRPr="001312CA">
        <w:rPr>
          <w:rFonts w:eastAsia="MS PGothic" w:cs="Times New Roman"/>
          <w:color w:val="7F7F7F"/>
          <w:sz w:val="19"/>
          <w:lang w:eastAsia="de-DE"/>
        </w:rPr>
        <w:t xml:space="preserve"> * Körper- und Zahnpflegeartikel, Injektionszubehör, Desinfektionsmittel, Randsortiment, Drogen, Medizinprodukte, Chemikalien, Tierarzneimittel, Nahrungsergänzungsmittel, Diäthika.</w:t>
      </w:r>
    </w:p>
    <w:p w:rsidR="001312CA" w:rsidRPr="001312CA" w:rsidRDefault="001312CA" w:rsidP="001312CA">
      <w:pPr>
        <w:spacing w:after="0" w:line="280" w:lineRule="atLeast"/>
        <w:rPr>
          <w:rFonts w:eastAsia="MS PGothic" w:cs="Tahoma"/>
          <w:szCs w:val="22"/>
          <w:lang w:eastAsia="de-DE"/>
        </w:rPr>
      </w:pPr>
    </w:p>
    <w:p w:rsidR="001312CA" w:rsidRPr="001312CA" w:rsidRDefault="001312CA" w:rsidP="001312CA">
      <w:pPr>
        <w:spacing w:after="0" w:line="280" w:lineRule="atLeast"/>
        <w:rPr>
          <w:rFonts w:eastAsia="MS PGothic" w:cs="Tahoma"/>
          <w:szCs w:val="22"/>
          <w:lang w:eastAsia="de-DE"/>
        </w:rPr>
      </w:pPr>
      <w:r w:rsidRPr="001312CA">
        <w:rPr>
          <w:rFonts w:eastAsia="MS PGothic" w:cs="Tahoma"/>
          <w:szCs w:val="22"/>
          <w:lang w:eastAsia="de-DE"/>
        </w:rPr>
        <w:t>Die Entwicklung der Marktanteile zeigt allerdings einen deutlichen Trend zu Biopharmazeutika. Dies ist dahingehend nicht überraschend, als in den vergangenen Jahren einige „</w:t>
      </w:r>
      <w:r w:rsidRPr="001312CA">
        <w:rPr>
          <w:rFonts w:eastAsia="MS PGothic" w:cs="Tahoma"/>
          <w:b/>
          <w:szCs w:val="22"/>
          <w:lang w:eastAsia="de-DE"/>
        </w:rPr>
        <w:t>klassische Blockbuster</w:t>
      </w:r>
      <w:r w:rsidRPr="001312CA">
        <w:rPr>
          <w:rFonts w:eastAsia="MS PGothic" w:cs="Tahoma"/>
          <w:szCs w:val="22"/>
          <w:lang w:eastAsia="de-DE"/>
        </w:rPr>
        <w:t>“ patentfrei wurden und somit starke generische Konkurrenz bekommen haben. Die höhere Preisstruktur und allgemein die Schwierigkeit Biopharmazeutika zu „kopieren“ macht dies, neben den nachgewiesenen Wirkungsweisen und neuen Ansätzen, für die forschende Pharmaindustrie deutlich attraktiver, um schwerwie</w:t>
      </w:r>
      <w:r>
        <w:rPr>
          <w:rFonts w:eastAsia="MS PGothic" w:cs="Tahoma"/>
          <w:szCs w:val="22"/>
          <w:lang w:eastAsia="de-DE"/>
        </w:rPr>
        <w:t>gende Krankheiten zu behandeln.</w:t>
      </w:r>
      <w:r w:rsidRPr="001312CA">
        <w:rPr>
          <w:rFonts w:eastAsia="MS PGothic" w:cs="Tahoma"/>
          <w:noProof/>
          <w:szCs w:val="22"/>
          <w:lang w:eastAsia="de-DE"/>
        </w:rPr>
        <mc:AlternateContent>
          <mc:Choice Requires="wpg">
            <w:drawing>
              <wp:inline distT="0" distB="0" distL="0" distR="0" wp14:anchorId="054070AB" wp14:editId="142F1129">
                <wp:extent cx="5399572" cy="1746250"/>
                <wp:effectExtent l="0" t="0" r="0" b="6350"/>
                <wp:docPr id="24"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72" cy="1746250"/>
                          <a:chOff x="0" y="-5290626"/>
                          <a:chExt cx="5399732" cy="6431021"/>
                        </a:xfrm>
                      </wpg:grpSpPr>
                      <wps:wsp>
                        <wps:cNvPr id="25" name="Textfeld 5"/>
                        <wps:cNvSpPr txBox="1"/>
                        <wps:spPr>
                          <a:xfrm>
                            <a:off x="7" y="-5290626"/>
                            <a:ext cx="5399725" cy="6431021"/>
                          </a:xfrm>
                          <a:prstGeom prst="rect">
                            <a:avLst/>
                          </a:prstGeom>
                          <a:solidFill>
                            <a:sysClr val="window" lastClr="FFFFFF">
                              <a:lumMod val="85000"/>
                            </a:sys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312CA" w:rsidRPr="0079621D" w:rsidRDefault="001312CA" w:rsidP="001312CA">
                              <w:pPr>
                                <w:pStyle w:val="Textfeld"/>
                                <w:shd w:val="clear" w:color="auto" w:fill="D9D9D9"/>
                                <w:jc w:val="both"/>
                                <w:rPr>
                                  <w:rStyle w:val="Fett"/>
                                  <w:color w:val="auto"/>
                                </w:rPr>
                              </w:pPr>
                              <w:r w:rsidRPr="0079621D">
                                <w:rPr>
                                  <w:rStyle w:val="Fett"/>
                                  <w:color w:val="auto"/>
                                </w:rPr>
                                <w:t>Blockbuster</w:t>
                              </w:r>
                            </w:p>
                            <w:p w:rsidR="001312CA" w:rsidRPr="007E3DC9" w:rsidRDefault="001312CA" w:rsidP="001312CA">
                              <w:pPr>
                                <w:spacing w:line="240" w:lineRule="auto"/>
                              </w:pPr>
                              <w:r w:rsidRPr="007E3DC9">
                                <w:t xml:space="preserve">Ein sogenannter Blockbuster ist nach der gängigsten Definition ein </w:t>
                              </w:r>
                              <w:r>
                                <w:t>sehr gefragtes Medikament, welches für die Firma, die es vertreibt in einem Jahr mehr als 1 Mio. US$</w:t>
                              </w:r>
                              <w:r w:rsidRPr="008C02E0">
                                <w:t xml:space="preserve"> Umsatz </w:t>
                              </w:r>
                              <w:r>
                                <w:t>generiert. Blockbuster Medikamente sind üblicherweise daher in der Behandlung von „Volkskrankheiten“ wie Bluthochdruck, Asthma, erhöhtes Cholesterin oder auch in den großen Krebsarten</w:t>
                              </w:r>
                              <w:r w:rsidRPr="00CB0BA5">
                                <w:t xml:space="preserve"> </w:t>
                              </w:r>
                              <w:r>
                                <w:t>angesiedelt.</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noAutofit/>
                        </wps:bodyPr>
                      </wps:wsp>
                      <pic:pic xmlns:pic="http://schemas.openxmlformats.org/drawingml/2006/picture">
                        <pic:nvPicPr>
                          <pic:cNvPr id="26" name="Bild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w:pict>
              <v:group w14:anchorId="054070AB" id="Gruppierung 2" o:spid="_x0000_s1026" style="width:425.15pt;height:137.5pt;mso-position-horizontal-relative:char;mso-position-vertical-relative:line" coordorigin=",-52906" coordsize="53997,6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">
                <v:shapetype id="_x0000_t202" coordsize="21600,21600" o:spt="202" path="m,l,21600r21600,l21600,xe">
                  <v:stroke joinstyle="miter"/>
                  <v:path gradientshapeok="t" o:connecttype="rect"/>
                </v:shapetype>
                <v:shape id="Textfeld 5" o:spid="_x0000_s1027" type="#_x0000_t202" style="position:absolute;top:-52906;width:53997;height:6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" fillcolor="#d9d9d9" stroked="f">
                  <v:textbox inset="20mm,5mm,15mm,5mm">
                    <w:txbxContent>
                      <w:p w:rsidR="001312CA" w:rsidRPr="0079621D" w:rsidRDefault="001312CA" w:rsidP="001312CA">
                        <w:pPr>
                          <w:pStyle w:val="Textfeld"/>
                          <w:shd w:val="clear" w:color="auto" w:fill="D9D9D9"/>
                          <w:jc w:val="both"/>
                          <w:rPr>
                            <w:rStyle w:val="Fett"/>
                            <w:color w:val="auto"/>
                          </w:rPr>
                        </w:pPr>
                        <w:r w:rsidRPr="0079621D">
                          <w:rPr>
                            <w:rStyle w:val="Fett"/>
                            <w:color w:val="auto"/>
                          </w:rPr>
                          <w:t>Blockbuster</w:t>
                        </w:r>
                      </w:p>
                      <w:p w:rsidR="001312CA" w:rsidRPr="007E3DC9" w:rsidRDefault="001312CA" w:rsidP="001312CA">
                        <w:pPr>
                          <w:spacing w:line="240" w:lineRule="auto"/>
                        </w:pPr>
                        <w:r w:rsidRPr="007E3DC9">
                          <w:t xml:space="preserve">Ein sogenannter Blockbuster ist nach der gängigsten Definition ein </w:t>
                        </w:r>
                        <w:r>
                          <w:t>sehr gefragtes Medikament, welches für die Firma, die es vertreibt in einem Jahr mehr als 1 Mio. US$</w:t>
                        </w:r>
                        <w:r w:rsidRPr="008C02E0">
                          <w:t xml:space="preserve"> Umsatz </w:t>
                        </w:r>
                        <w:r>
                          <w:t>generiert. Blockbuster Medikamente sind üblicherweise daher in der Behandlung von „Volkskrankheiten“ wie Bluthochdruck, Asthma, erhöhtes Cholesterin oder auch in den großen Krebsarten</w:t>
                        </w:r>
                        <w:r w:rsidRPr="00CB0BA5">
                          <w:t xml:space="preserve"> </w:t>
                        </w:r>
                        <w:r>
                          <w:t>angesiedelt.</w:t>
                        </w:r>
                      </w:p>
                    </w:txbxContent>
                  </v:textbox>
                </v:shape>
                <v:shape id="Bild 6" o:spid="_x0000_s1028"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">
                  <v:imagedata r:id="rId22" o:title=""/>
                  <v:path arrowok="t"/>
                </v:shape>
                <w10:anchorlock/>
              </v:group>
            </w:pict>
          </mc:Fallback>
        </mc:AlternateContent>
      </w:r>
    </w:p>
    <w:p w:rsidR="001312CA" w:rsidRPr="001312CA" w:rsidRDefault="001312CA" w:rsidP="001312CA">
      <w:pPr>
        <w:spacing w:after="0" w:line="280" w:lineRule="atLeast"/>
        <w:jc w:val="center"/>
        <w:rPr>
          <w:rFonts w:eastAsia="MS PGothic" w:cs="Tahoma"/>
          <w:szCs w:val="22"/>
          <w:lang w:eastAsia="de-DE"/>
        </w:rPr>
      </w:pPr>
    </w:p>
    <w:tbl>
      <w:tblPr>
        <w:tblStyle w:val="HelleSchattierung2"/>
        <w:tblW w:w="0" w:type="auto"/>
        <w:tblLook w:val="04A0" w:firstRow="1" w:lastRow="0" w:firstColumn="1" w:lastColumn="0" w:noHBand="0" w:noVBand="1"/>
      </w:tblPr>
      <w:tblGrid>
        <w:gridCol w:w="1941"/>
        <w:gridCol w:w="969"/>
        <w:gridCol w:w="969"/>
        <w:gridCol w:w="969"/>
        <w:gridCol w:w="969"/>
        <w:gridCol w:w="969"/>
        <w:gridCol w:w="794"/>
      </w:tblGrid>
      <w:tr w:rsidR="001312CA" w:rsidRPr="001312CA" w:rsidTr="00BA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Borders>
              <w:bottom w:val="nil"/>
            </w:tcBorders>
          </w:tcPr>
          <w:p w:rsidR="001312CA" w:rsidRPr="001312CA" w:rsidRDefault="001312CA" w:rsidP="001312CA">
            <w:pPr>
              <w:spacing w:after="0" w:line="280" w:lineRule="atLeast"/>
              <w:jc w:val="center"/>
              <w:rPr>
                <w:rFonts w:cs="Tahoma"/>
                <w:sz w:val="16"/>
                <w:szCs w:val="16"/>
              </w:rPr>
            </w:pPr>
          </w:p>
        </w:tc>
        <w:tc>
          <w:tcPr>
            <w:tcW w:w="2907" w:type="dxa"/>
            <w:gridSpan w:val="3"/>
            <w:tcBorders>
              <w:bottom w:val="nil"/>
              <w:right w:val="single" w:sz="4" w:space="0" w:color="auto"/>
            </w:tcBorders>
          </w:tcPr>
          <w:p w:rsidR="001312CA" w:rsidRPr="001312CA" w:rsidRDefault="001312CA" w:rsidP="001312CA">
            <w:pPr>
              <w:spacing w:after="0" w:line="280" w:lineRule="atLeast"/>
              <w:jc w:val="center"/>
              <w:cnfStyle w:val="100000000000" w:firstRow="1"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Verordnungen</w:t>
            </w:r>
          </w:p>
        </w:tc>
        <w:tc>
          <w:tcPr>
            <w:tcW w:w="2732" w:type="dxa"/>
            <w:gridSpan w:val="3"/>
            <w:tcBorders>
              <w:left w:val="single" w:sz="4" w:space="0" w:color="auto"/>
              <w:bottom w:val="nil"/>
            </w:tcBorders>
          </w:tcPr>
          <w:p w:rsidR="001312CA" w:rsidRPr="001312CA" w:rsidRDefault="001312CA" w:rsidP="001312CA">
            <w:pPr>
              <w:spacing w:after="0" w:line="280" w:lineRule="atLeast"/>
              <w:jc w:val="center"/>
              <w:cnfStyle w:val="100000000000" w:firstRow="1"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Umsatz</w:t>
            </w:r>
          </w:p>
        </w:tc>
      </w:tr>
      <w:tr w:rsidR="001312CA" w:rsidRPr="001312CA" w:rsidTr="00BA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Borders>
              <w:top w:val="nil"/>
              <w:bottom w:val="single" w:sz="4" w:space="0" w:color="auto"/>
            </w:tcBorders>
            <w:shd w:val="clear" w:color="auto" w:fill="auto"/>
          </w:tcPr>
          <w:p w:rsidR="001312CA" w:rsidRPr="001312CA" w:rsidRDefault="001312CA" w:rsidP="001312CA">
            <w:pPr>
              <w:spacing w:after="0" w:line="280" w:lineRule="atLeast"/>
              <w:jc w:val="center"/>
              <w:rPr>
                <w:rFonts w:cs="Tahoma"/>
                <w:sz w:val="16"/>
                <w:szCs w:val="16"/>
              </w:rPr>
            </w:pPr>
          </w:p>
        </w:tc>
        <w:tc>
          <w:tcPr>
            <w:tcW w:w="969" w:type="dxa"/>
            <w:tcBorders>
              <w:top w:val="nil"/>
              <w:bottom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2014</w:t>
            </w:r>
          </w:p>
        </w:tc>
        <w:tc>
          <w:tcPr>
            <w:tcW w:w="969" w:type="dxa"/>
            <w:tcBorders>
              <w:top w:val="nil"/>
              <w:bottom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2015</w:t>
            </w:r>
          </w:p>
        </w:tc>
        <w:tc>
          <w:tcPr>
            <w:tcW w:w="969" w:type="dxa"/>
            <w:tcBorders>
              <w:top w:val="nil"/>
              <w:bottom w:val="single" w:sz="4" w:space="0" w:color="auto"/>
              <w:righ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2016</w:t>
            </w:r>
          </w:p>
        </w:tc>
        <w:tc>
          <w:tcPr>
            <w:tcW w:w="969" w:type="dxa"/>
            <w:tcBorders>
              <w:top w:val="nil"/>
              <w:left w:val="single" w:sz="4" w:space="0" w:color="auto"/>
              <w:bottom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2014</w:t>
            </w:r>
          </w:p>
        </w:tc>
        <w:tc>
          <w:tcPr>
            <w:tcW w:w="969" w:type="dxa"/>
            <w:tcBorders>
              <w:top w:val="nil"/>
              <w:bottom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2015</w:t>
            </w:r>
          </w:p>
        </w:tc>
        <w:tc>
          <w:tcPr>
            <w:tcW w:w="794" w:type="dxa"/>
            <w:tcBorders>
              <w:top w:val="nil"/>
              <w:bottom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b/>
                <w:sz w:val="16"/>
                <w:szCs w:val="16"/>
              </w:rPr>
            </w:pPr>
            <w:r w:rsidRPr="001312CA">
              <w:rPr>
                <w:rFonts w:cs="Tahoma"/>
                <w:b/>
                <w:sz w:val="16"/>
                <w:szCs w:val="16"/>
              </w:rPr>
              <w:t>2016</w:t>
            </w:r>
          </w:p>
        </w:tc>
      </w:tr>
      <w:tr w:rsidR="001312CA" w:rsidRPr="001312CA" w:rsidTr="001312CA">
        <w:tc>
          <w:tcPr>
            <w:cnfStyle w:val="001000000000" w:firstRow="0" w:lastRow="0" w:firstColumn="1" w:lastColumn="0" w:oddVBand="0" w:evenVBand="0" w:oddHBand="0" w:evenHBand="0" w:firstRowFirstColumn="0" w:firstRowLastColumn="0" w:lastRowFirstColumn="0" w:lastRowLastColumn="0"/>
            <w:tcW w:w="1941" w:type="dxa"/>
            <w:tcBorders>
              <w:top w:val="single" w:sz="4" w:space="0" w:color="auto"/>
            </w:tcBorders>
            <w:shd w:val="clear" w:color="auto" w:fill="BFBFBF"/>
          </w:tcPr>
          <w:p w:rsidR="001312CA" w:rsidRPr="001312CA" w:rsidRDefault="001312CA" w:rsidP="001312CA">
            <w:pPr>
              <w:spacing w:after="0" w:line="280" w:lineRule="atLeast"/>
              <w:jc w:val="left"/>
              <w:rPr>
                <w:rFonts w:cs="Tahoma"/>
                <w:sz w:val="16"/>
                <w:szCs w:val="16"/>
              </w:rPr>
            </w:pPr>
            <w:r w:rsidRPr="001312CA">
              <w:rPr>
                <w:rFonts w:cs="Tahoma"/>
                <w:sz w:val="16"/>
                <w:szCs w:val="16"/>
              </w:rPr>
              <w:t>Gesamt</w:t>
            </w:r>
          </w:p>
        </w:tc>
        <w:tc>
          <w:tcPr>
            <w:tcW w:w="969" w:type="dxa"/>
            <w:tcBorders>
              <w:top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c>
          <w:tcPr>
            <w:tcW w:w="969" w:type="dxa"/>
            <w:tcBorders>
              <w:top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c>
          <w:tcPr>
            <w:tcW w:w="969" w:type="dxa"/>
            <w:tcBorders>
              <w:top w:val="single" w:sz="4" w:space="0" w:color="auto"/>
              <w:righ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c>
          <w:tcPr>
            <w:tcW w:w="969" w:type="dxa"/>
            <w:tcBorders>
              <w:top w:val="single" w:sz="4" w:space="0" w:color="auto"/>
              <w:lef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c>
          <w:tcPr>
            <w:tcW w:w="969" w:type="dxa"/>
            <w:tcBorders>
              <w:top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c>
          <w:tcPr>
            <w:tcW w:w="794" w:type="dxa"/>
            <w:tcBorders>
              <w:top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100,00</w:t>
            </w:r>
          </w:p>
        </w:tc>
      </w:tr>
      <w:tr w:rsidR="001312CA" w:rsidRPr="001312CA" w:rsidTr="00BA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shd w:val="clear" w:color="auto" w:fill="auto"/>
          </w:tcPr>
          <w:p w:rsidR="001312CA" w:rsidRPr="001312CA" w:rsidRDefault="001312CA" w:rsidP="001312CA">
            <w:pPr>
              <w:spacing w:after="0" w:line="280" w:lineRule="atLeast"/>
              <w:jc w:val="left"/>
              <w:rPr>
                <w:rFonts w:cs="Tahoma"/>
                <w:sz w:val="16"/>
                <w:szCs w:val="16"/>
              </w:rPr>
            </w:pPr>
            <w:r w:rsidRPr="001312CA">
              <w:rPr>
                <w:rFonts w:cs="Tahoma"/>
                <w:sz w:val="16"/>
                <w:szCs w:val="16"/>
              </w:rPr>
              <w:t>Arzneimittel human</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92,18</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92,11</w:t>
            </w:r>
          </w:p>
        </w:tc>
        <w:tc>
          <w:tcPr>
            <w:tcW w:w="969" w:type="dxa"/>
            <w:tcBorders>
              <w:righ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92,12</w:t>
            </w:r>
          </w:p>
        </w:tc>
        <w:tc>
          <w:tcPr>
            <w:tcW w:w="969" w:type="dxa"/>
            <w:tcBorders>
              <w:lef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78,33</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77,40</w:t>
            </w:r>
          </w:p>
        </w:tc>
        <w:tc>
          <w:tcPr>
            <w:tcW w:w="794"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76,09</w:t>
            </w:r>
          </w:p>
        </w:tc>
      </w:tr>
      <w:tr w:rsidR="001312CA" w:rsidRPr="001312CA" w:rsidTr="001312CA">
        <w:tc>
          <w:tcPr>
            <w:cnfStyle w:val="001000000000" w:firstRow="0" w:lastRow="0" w:firstColumn="1" w:lastColumn="0" w:oddVBand="0" w:evenVBand="0" w:oddHBand="0" w:evenHBand="0" w:firstRowFirstColumn="0" w:firstRowLastColumn="0" w:lastRowFirstColumn="0" w:lastRowLastColumn="0"/>
            <w:tcW w:w="1941" w:type="dxa"/>
            <w:shd w:val="clear" w:color="auto" w:fill="BFBFBF"/>
          </w:tcPr>
          <w:p w:rsidR="001312CA" w:rsidRPr="001312CA" w:rsidRDefault="001312CA" w:rsidP="001312CA">
            <w:pPr>
              <w:spacing w:after="0" w:line="280" w:lineRule="atLeast"/>
              <w:jc w:val="left"/>
              <w:rPr>
                <w:rFonts w:cs="Tahoma"/>
                <w:sz w:val="16"/>
                <w:szCs w:val="16"/>
              </w:rPr>
            </w:pPr>
            <w:r w:rsidRPr="001312CA">
              <w:rPr>
                <w:rFonts w:cs="Tahoma"/>
                <w:sz w:val="16"/>
                <w:szCs w:val="16"/>
              </w:rPr>
              <w:t>Biopharmazeutika</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2,43</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2,49</w:t>
            </w:r>
          </w:p>
        </w:tc>
        <w:tc>
          <w:tcPr>
            <w:tcW w:w="969" w:type="dxa"/>
            <w:tcBorders>
              <w:righ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2,55</w:t>
            </w:r>
          </w:p>
        </w:tc>
        <w:tc>
          <w:tcPr>
            <w:tcW w:w="969" w:type="dxa"/>
            <w:tcBorders>
              <w:lef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18,50</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19,61</w:t>
            </w:r>
          </w:p>
        </w:tc>
        <w:tc>
          <w:tcPr>
            <w:tcW w:w="794"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21,05</w:t>
            </w:r>
          </w:p>
        </w:tc>
      </w:tr>
      <w:tr w:rsidR="001312CA" w:rsidRPr="001312CA" w:rsidTr="00BA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shd w:val="clear" w:color="auto" w:fill="auto"/>
          </w:tcPr>
          <w:p w:rsidR="001312CA" w:rsidRPr="001312CA" w:rsidRDefault="001312CA" w:rsidP="001312CA">
            <w:pPr>
              <w:spacing w:after="0" w:line="280" w:lineRule="atLeast"/>
              <w:jc w:val="left"/>
              <w:rPr>
                <w:rFonts w:cs="Tahoma"/>
                <w:sz w:val="16"/>
                <w:szCs w:val="16"/>
              </w:rPr>
            </w:pPr>
            <w:r w:rsidRPr="001312CA">
              <w:rPr>
                <w:rFonts w:cs="Tahoma"/>
                <w:sz w:val="16"/>
                <w:szCs w:val="16"/>
              </w:rPr>
              <w:t>Diagnostika</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3,77</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3,77</w:t>
            </w:r>
          </w:p>
        </w:tc>
        <w:tc>
          <w:tcPr>
            <w:tcW w:w="969" w:type="dxa"/>
            <w:tcBorders>
              <w:righ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3,74</w:t>
            </w:r>
          </w:p>
        </w:tc>
        <w:tc>
          <w:tcPr>
            <w:tcW w:w="969" w:type="dxa"/>
            <w:tcBorders>
              <w:lef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2,56</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2,42</w:t>
            </w:r>
          </w:p>
        </w:tc>
        <w:tc>
          <w:tcPr>
            <w:tcW w:w="794"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2,30</w:t>
            </w:r>
          </w:p>
        </w:tc>
      </w:tr>
      <w:tr w:rsidR="001312CA" w:rsidRPr="001312CA" w:rsidTr="001312CA">
        <w:tc>
          <w:tcPr>
            <w:cnfStyle w:val="001000000000" w:firstRow="0" w:lastRow="0" w:firstColumn="1" w:lastColumn="0" w:oddVBand="0" w:evenVBand="0" w:oddHBand="0" w:evenHBand="0" w:firstRowFirstColumn="0" w:firstRowLastColumn="0" w:lastRowFirstColumn="0" w:lastRowLastColumn="0"/>
            <w:tcW w:w="1941" w:type="dxa"/>
            <w:shd w:val="clear" w:color="auto" w:fill="BFBFBF"/>
          </w:tcPr>
          <w:p w:rsidR="001312CA" w:rsidRPr="001312CA" w:rsidRDefault="001312CA" w:rsidP="001312CA">
            <w:pPr>
              <w:spacing w:after="0" w:line="280" w:lineRule="atLeast"/>
              <w:jc w:val="left"/>
              <w:rPr>
                <w:rFonts w:cs="Tahoma"/>
                <w:sz w:val="16"/>
                <w:szCs w:val="16"/>
              </w:rPr>
            </w:pPr>
            <w:r w:rsidRPr="001312CA">
              <w:rPr>
                <w:rFonts w:cs="Tahoma"/>
                <w:sz w:val="16"/>
                <w:szCs w:val="16"/>
              </w:rPr>
              <w:t>Übrige*</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0,64</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0,63</w:t>
            </w:r>
          </w:p>
        </w:tc>
        <w:tc>
          <w:tcPr>
            <w:tcW w:w="969" w:type="dxa"/>
            <w:tcBorders>
              <w:righ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0,63</w:t>
            </w:r>
          </w:p>
        </w:tc>
        <w:tc>
          <w:tcPr>
            <w:tcW w:w="969" w:type="dxa"/>
            <w:tcBorders>
              <w:lef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0,31</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0,29</w:t>
            </w:r>
          </w:p>
        </w:tc>
        <w:tc>
          <w:tcPr>
            <w:tcW w:w="794"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0,29</w:t>
            </w:r>
          </w:p>
        </w:tc>
      </w:tr>
      <w:tr w:rsidR="001312CA" w:rsidRPr="001312CA" w:rsidTr="00BA0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shd w:val="clear" w:color="auto" w:fill="auto"/>
          </w:tcPr>
          <w:p w:rsidR="001312CA" w:rsidRPr="001312CA" w:rsidRDefault="001312CA" w:rsidP="001312CA">
            <w:pPr>
              <w:spacing w:after="0" w:line="280" w:lineRule="atLeast"/>
              <w:jc w:val="left"/>
              <w:rPr>
                <w:rFonts w:cs="Tahoma"/>
                <w:sz w:val="16"/>
                <w:szCs w:val="16"/>
              </w:rPr>
            </w:pPr>
            <w:r w:rsidRPr="001312CA">
              <w:rPr>
                <w:rFonts w:cs="Tahoma"/>
                <w:sz w:val="16"/>
                <w:szCs w:val="16"/>
              </w:rPr>
              <w:t>Phytopharmaka</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0,68</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0,70</w:t>
            </w:r>
          </w:p>
        </w:tc>
        <w:tc>
          <w:tcPr>
            <w:tcW w:w="969" w:type="dxa"/>
            <w:tcBorders>
              <w:righ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0,70</w:t>
            </w:r>
          </w:p>
        </w:tc>
        <w:tc>
          <w:tcPr>
            <w:tcW w:w="969" w:type="dxa"/>
            <w:tcBorders>
              <w:lef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0,21</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0,20</w:t>
            </w:r>
          </w:p>
        </w:tc>
        <w:tc>
          <w:tcPr>
            <w:tcW w:w="794"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0,20</w:t>
            </w:r>
          </w:p>
        </w:tc>
      </w:tr>
      <w:tr w:rsidR="001312CA" w:rsidRPr="001312CA" w:rsidTr="001312CA">
        <w:tc>
          <w:tcPr>
            <w:cnfStyle w:val="001000000000" w:firstRow="0" w:lastRow="0" w:firstColumn="1" w:lastColumn="0" w:oddVBand="0" w:evenVBand="0" w:oddHBand="0" w:evenHBand="0" w:firstRowFirstColumn="0" w:firstRowLastColumn="0" w:lastRowFirstColumn="0" w:lastRowLastColumn="0"/>
            <w:tcW w:w="1941" w:type="dxa"/>
            <w:shd w:val="clear" w:color="auto" w:fill="BFBFBF"/>
          </w:tcPr>
          <w:p w:rsidR="001312CA" w:rsidRPr="001312CA" w:rsidRDefault="001312CA" w:rsidP="001312CA">
            <w:pPr>
              <w:spacing w:after="0" w:line="280" w:lineRule="atLeast"/>
              <w:jc w:val="left"/>
              <w:rPr>
                <w:rFonts w:cs="Tahoma"/>
                <w:sz w:val="16"/>
                <w:szCs w:val="16"/>
              </w:rPr>
            </w:pPr>
            <w:r w:rsidRPr="001312CA">
              <w:rPr>
                <w:rFonts w:cs="Tahoma"/>
                <w:sz w:val="16"/>
                <w:szCs w:val="16"/>
              </w:rPr>
              <w:lastRenderedPageBreak/>
              <w:t>Anthroposophie</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0,22</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0,11</w:t>
            </w:r>
          </w:p>
        </w:tc>
        <w:tc>
          <w:tcPr>
            <w:tcW w:w="969" w:type="dxa"/>
            <w:tcBorders>
              <w:righ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0,10</w:t>
            </w:r>
          </w:p>
        </w:tc>
        <w:tc>
          <w:tcPr>
            <w:tcW w:w="969" w:type="dxa"/>
            <w:tcBorders>
              <w:left w:val="single" w:sz="4" w:space="0" w:color="auto"/>
            </w:tcBorders>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0,04</w:t>
            </w:r>
          </w:p>
        </w:tc>
        <w:tc>
          <w:tcPr>
            <w:tcW w:w="969"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0,04</w:t>
            </w:r>
          </w:p>
        </w:tc>
        <w:tc>
          <w:tcPr>
            <w:tcW w:w="794" w:type="dxa"/>
            <w:shd w:val="clear" w:color="auto" w:fill="BFBFBF"/>
          </w:tcPr>
          <w:p w:rsidR="001312CA" w:rsidRPr="001312CA" w:rsidRDefault="001312CA" w:rsidP="001312CA">
            <w:pPr>
              <w:spacing w:after="0" w:line="280" w:lineRule="atLeast"/>
              <w:jc w:val="right"/>
              <w:cnfStyle w:val="000000000000" w:firstRow="0" w:lastRow="0" w:firstColumn="0" w:lastColumn="0" w:oddVBand="0" w:evenVBand="0" w:oddHBand="0" w:evenHBand="0" w:firstRowFirstColumn="0" w:firstRowLastColumn="0" w:lastRowFirstColumn="0" w:lastRowLastColumn="0"/>
              <w:rPr>
                <w:rFonts w:cs="Tahoma"/>
                <w:sz w:val="16"/>
                <w:szCs w:val="16"/>
              </w:rPr>
            </w:pPr>
            <w:r w:rsidRPr="001312CA">
              <w:rPr>
                <w:rFonts w:cs="Tahoma"/>
                <w:sz w:val="16"/>
                <w:szCs w:val="16"/>
              </w:rPr>
              <w:t>0,04</w:t>
            </w:r>
          </w:p>
        </w:tc>
      </w:tr>
      <w:tr w:rsidR="001312CA" w:rsidRPr="001312CA" w:rsidTr="00131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shd w:val="clear" w:color="auto" w:fill="auto"/>
          </w:tcPr>
          <w:p w:rsidR="001312CA" w:rsidRPr="001312CA" w:rsidRDefault="001312CA" w:rsidP="001312CA">
            <w:pPr>
              <w:spacing w:after="0" w:line="280" w:lineRule="atLeast"/>
              <w:jc w:val="left"/>
              <w:rPr>
                <w:rFonts w:cs="Tahoma"/>
                <w:sz w:val="16"/>
                <w:szCs w:val="16"/>
              </w:rPr>
            </w:pPr>
            <w:r w:rsidRPr="001312CA">
              <w:rPr>
                <w:rFonts w:cs="Tahoma"/>
                <w:sz w:val="16"/>
                <w:szCs w:val="16"/>
              </w:rPr>
              <w:t>Homöopathie</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0,20</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0,18</w:t>
            </w:r>
          </w:p>
        </w:tc>
        <w:tc>
          <w:tcPr>
            <w:tcW w:w="969" w:type="dxa"/>
            <w:tcBorders>
              <w:bottom w:val="single" w:sz="8" w:space="0" w:color="000000"/>
              <w:righ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0,16</w:t>
            </w:r>
          </w:p>
        </w:tc>
        <w:tc>
          <w:tcPr>
            <w:tcW w:w="969" w:type="dxa"/>
            <w:tcBorders>
              <w:left w:val="single" w:sz="4" w:space="0" w:color="auto"/>
            </w:tcBorders>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0,04</w:t>
            </w:r>
          </w:p>
        </w:tc>
        <w:tc>
          <w:tcPr>
            <w:tcW w:w="969"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0,04</w:t>
            </w:r>
          </w:p>
        </w:tc>
        <w:tc>
          <w:tcPr>
            <w:tcW w:w="794" w:type="dxa"/>
            <w:shd w:val="clear" w:color="auto" w:fill="auto"/>
          </w:tcPr>
          <w:p w:rsidR="001312CA" w:rsidRPr="001312CA" w:rsidRDefault="001312CA" w:rsidP="001312CA">
            <w:pPr>
              <w:spacing w:after="0" w:line="280" w:lineRule="atLeast"/>
              <w:jc w:val="right"/>
              <w:cnfStyle w:val="000000100000" w:firstRow="0" w:lastRow="0" w:firstColumn="0" w:lastColumn="0" w:oddVBand="0" w:evenVBand="0" w:oddHBand="1" w:evenHBand="0" w:firstRowFirstColumn="0" w:firstRowLastColumn="0" w:lastRowFirstColumn="0" w:lastRowLastColumn="0"/>
              <w:rPr>
                <w:rFonts w:cs="Tahoma"/>
                <w:sz w:val="16"/>
                <w:szCs w:val="16"/>
              </w:rPr>
            </w:pPr>
            <w:r w:rsidRPr="001312CA">
              <w:rPr>
                <w:rFonts w:cs="Tahoma"/>
                <w:sz w:val="16"/>
                <w:szCs w:val="16"/>
              </w:rPr>
              <w:t>0,03</w:t>
            </w:r>
          </w:p>
        </w:tc>
      </w:tr>
    </w:tbl>
    <w:p w:rsidR="001312CA" w:rsidRPr="001312CA" w:rsidRDefault="001312CA" w:rsidP="001312CA">
      <w:pPr>
        <w:spacing w:after="0" w:line="280" w:lineRule="atLeast"/>
        <w:jc w:val="left"/>
        <w:rPr>
          <w:rFonts w:eastAsia="MS PGothic" w:cs="Times New Roman"/>
          <w:szCs w:val="22"/>
          <w:lang w:eastAsia="de-DE"/>
        </w:rPr>
      </w:pPr>
      <w:bookmarkStart w:id="2" w:name="_Toc526782791"/>
      <w:r w:rsidRPr="001312CA">
        <w:rPr>
          <w:rFonts w:eastAsia="MS PGothic" w:cs="Times New Roman"/>
          <w:color w:val="7F7F7F"/>
          <w:sz w:val="19"/>
          <w:lang w:eastAsia="de-DE"/>
        </w:rPr>
        <w:t xml:space="preserve">Abbildung </w:t>
      </w:r>
      <w:r w:rsidRPr="001312CA">
        <w:rPr>
          <w:rFonts w:eastAsia="MS PGothic" w:cs="Times New Roman"/>
          <w:color w:val="7F7F7F"/>
          <w:sz w:val="19"/>
          <w:lang w:eastAsia="de-DE"/>
        </w:rPr>
        <w:fldChar w:fldCharType="begin"/>
      </w:r>
      <w:r w:rsidRPr="001312CA">
        <w:rPr>
          <w:rFonts w:eastAsia="MS PGothic" w:cs="Times New Roman"/>
          <w:color w:val="7F7F7F"/>
          <w:sz w:val="19"/>
          <w:lang w:eastAsia="de-DE"/>
        </w:rPr>
        <w:instrText xml:space="preserve"> SEQ Abbildung \* ARABIC </w:instrText>
      </w:r>
      <w:r w:rsidRPr="001312CA">
        <w:rPr>
          <w:rFonts w:eastAsia="MS PGothic" w:cs="Times New Roman"/>
          <w:color w:val="7F7F7F"/>
          <w:sz w:val="19"/>
          <w:lang w:eastAsia="de-DE"/>
        </w:rPr>
        <w:fldChar w:fldCharType="separate"/>
      </w:r>
      <w:r w:rsidRPr="001312CA">
        <w:rPr>
          <w:rFonts w:eastAsia="MS PGothic" w:cs="Times New Roman"/>
          <w:color w:val="7F7F7F"/>
          <w:sz w:val="19"/>
          <w:lang w:eastAsia="de-DE"/>
        </w:rPr>
        <w:t>2</w:t>
      </w:r>
      <w:r w:rsidRPr="001312CA">
        <w:rPr>
          <w:rFonts w:eastAsia="MS PGothic" w:cs="Times New Roman"/>
          <w:color w:val="7F7F7F"/>
          <w:sz w:val="19"/>
          <w:lang w:eastAsia="de-DE"/>
        </w:rPr>
        <w:fldChar w:fldCharType="end"/>
      </w:r>
      <w:r w:rsidRPr="001312CA">
        <w:rPr>
          <w:rFonts w:eastAsia="MS PGothic" w:cs="Times New Roman"/>
          <w:color w:val="7F7F7F"/>
          <w:sz w:val="19"/>
          <w:lang w:eastAsia="de-DE"/>
        </w:rPr>
        <w:t>: Entwicklung der Marktanteile zu Lasten der GKV 2014-2016</w:t>
      </w:r>
      <w:bookmarkEnd w:id="2"/>
      <w:r w:rsidRPr="001312CA">
        <w:rPr>
          <w:rFonts w:eastAsia="MS PGothic" w:cs="Times New Roman"/>
          <w:color w:val="7F7F7F"/>
          <w:sz w:val="19"/>
          <w:lang w:eastAsia="de-DE"/>
        </w:rPr>
        <w:t xml:space="preserve"> in %. </w:t>
      </w:r>
      <w:r w:rsidRPr="001312CA">
        <w:rPr>
          <w:rFonts w:eastAsia="MS PGothic" w:cs="Times New Roman"/>
          <w:color w:val="7F7F7F"/>
          <w:sz w:val="19"/>
          <w:lang w:eastAsia="de-DE"/>
        </w:rPr>
        <w:footnoteReference w:id="2"/>
      </w:r>
      <w:r w:rsidRPr="001312CA">
        <w:rPr>
          <w:rFonts w:eastAsia="MS PGothic" w:cs="Times New Roman"/>
          <w:color w:val="7F7F7F"/>
          <w:sz w:val="19"/>
          <w:lang w:eastAsia="de-DE"/>
        </w:rPr>
        <w:t xml:space="preserve"> *: Körper- und Zahnpflegeartikel, Injektionszubehör, Desinfektionsmittel, Randsortiment, Drogen, Medizinprodukte, Chemikalien, Tierarzneimittel, Nahrungsergänzungsmittel, Diäthika.</w:t>
      </w:r>
    </w:p>
    <w:p w:rsidR="001312CA" w:rsidRPr="001312CA" w:rsidRDefault="001312CA" w:rsidP="001312CA">
      <w:pPr>
        <w:spacing w:after="0" w:line="280" w:lineRule="atLeast"/>
        <w:rPr>
          <w:rFonts w:eastAsia="MS PGothic" w:cs="Tahoma"/>
          <w:szCs w:val="22"/>
          <w:lang w:eastAsia="de-DE"/>
        </w:rPr>
      </w:pPr>
    </w:p>
    <w:p w:rsidR="001312CA" w:rsidRPr="001312CA" w:rsidRDefault="001312CA" w:rsidP="001312CA">
      <w:pPr>
        <w:spacing w:after="0" w:line="280" w:lineRule="atLeast"/>
        <w:rPr>
          <w:rFonts w:eastAsia="MS PGothic" w:cs="Tahoma"/>
          <w:szCs w:val="22"/>
          <w:lang w:eastAsia="de-DE"/>
        </w:rPr>
      </w:pPr>
      <w:r w:rsidRPr="001312CA">
        <w:rPr>
          <w:rFonts w:eastAsia="MS PGothic" w:cs="Tahoma"/>
          <w:szCs w:val="22"/>
          <w:lang w:eastAsia="de-DE"/>
        </w:rPr>
        <w:t>Es ist auch eindeutig und unumstritten, dass die Kosten des deutschen Gesundheitssystems sich über die Jahre deutlich gesteigert haben. Die per-capita-Ausgaben sind konstant über die Jahre angestiegen. Allerdings geschah dies im Umfeld einer gesamtwirtschaftlichen positiven Entwicklung, so dass der Anteil der Gesundheitsausgaben gemessen am BIP (Bruttoinlandsprodukt) wieder relativ konstant ist (Abb. 03).</w:t>
      </w:r>
    </w:p>
    <w:p w:rsidR="001312CA" w:rsidRPr="001312CA" w:rsidRDefault="001312CA" w:rsidP="001312CA">
      <w:pPr>
        <w:spacing w:after="0" w:line="280" w:lineRule="atLeast"/>
        <w:rPr>
          <w:rFonts w:eastAsia="MS PGothic" w:cs="Tahoma"/>
          <w:szCs w:val="22"/>
          <w:lang w:eastAsia="de-DE"/>
        </w:rPr>
      </w:pPr>
    </w:p>
    <w:p w:rsidR="001312CA" w:rsidRPr="001312CA" w:rsidRDefault="001312CA" w:rsidP="001312CA">
      <w:pPr>
        <w:spacing w:after="0" w:line="280" w:lineRule="atLeast"/>
        <w:rPr>
          <w:rFonts w:eastAsia="MS PGothic" w:cs="Tahoma"/>
          <w:szCs w:val="22"/>
          <w:lang w:eastAsia="de-DE"/>
        </w:rPr>
      </w:pPr>
      <w:r w:rsidRPr="001312CA">
        <w:rPr>
          <w:rFonts w:eastAsia="MS PGothic" w:cs="Times New Roman"/>
          <w:noProof/>
          <w:lang w:eastAsia="de-DE"/>
        </w:rPr>
        <mc:AlternateContent>
          <mc:Choice Requires="wpg">
            <w:drawing>
              <wp:anchor distT="0" distB="0" distL="114300" distR="114300" simplePos="0" relativeHeight="251675648" behindDoc="0" locked="0" layoutInCell="1" allowOverlap="1" wp14:anchorId="6B5EC7A5" wp14:editId="2E1DEE4B">
                <wp:simplePos x="0" y="0"/>
                <wp:positionH relativeFrom="column">
                  <wp:posOffset>5080</wp:posOffset>
                </wp:positionH>
                <wp:positionV relativeFrom="paragraph">
                  <wp:posOffset>48260</wp:posOffset>
                </wp:positionV>
                <wp:extent cx="5399565" cy="1845265"/>
                <wp:effectExtent l="0" t="0" r="0" b="3175"/>
                <wp:wrapThrough wrapText="bothSides">
                  <wp:wrapPolygon edited="0">
                    <wp:start x="0" y="0"/>
                    <wp:lineTo x="0" y="21414"/>
                    <wp:lineTo x="21491" y="21414"/>
                    <wp:lineTo x="21491" y="0"/>
                    <wp:lineTo x="0" y="0"/>
                  </wp:wrapPolygon>
                </wp:wrapThrough>
                <wp:docPr id="7197"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845265"/>
                          <a:chOff x="0" y="0"/>
                          <a:chExt cx="5399885" cy="1947669"/>
                        </a:xfrm>
                      </wpg:grpSpPr>
                      <wps:wsp>
                        <wps:cNvPr id="512" name="Textfeld 5"/>
                        <wps:cNvSpPr txBox="1"/>
                        <wps:spPr>
                          <a:xfrm>
                            <a:off x="0" y="0"/>
                            <a:ext cx="5399885" cy="1947669"/>
                          </a:xfrm>
                          <a:prstGeom prst="rect">
                            <a:avLst/>
                          </a:prstGeom>
                          <a:solidFill>
                            <a:sysClr val="window" lastClr="FFFFFF">
                              <a:lumMod val="85000"/>
                            </a:sys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312CA" w:rsidRPr="00CF2F31" w:rsidRDefault="001312CA" w:rsidP="001312CA">
                              <w:pPr>
                                <w:pStyle w:val="Textfeld"/>
                                <w:shd w:val="clear" w:color="auto" w:fill="D9D9D9"/>
                                <w:jc w:val="both"/>
                                <w:rPr>
                                  <w:rStyle w:val="Fett"/>
                                  <w:color w:val="auto"/>
                                </w:rPr>
                              </w:pPr>
                              <w:r w:rsidRPr="00CF2F31">
                                <w:rPr>
                                  <w:rStyle w:val="Fett"/>
                                  <w:color w:val="auto"/>
                                </w:rPr>
                                <w:t>BIP (Bruttoinlandsprodukt)</w:t>
                              </w:r>
                            </w:p>
                            <w:p w:rsidR="001312CA" w:rsidRPr="00CF2F31" w:rsidRDefault="001312CA" w:rsidP="001312CA">
                              <w:pPr>
                                <w:spacing w:line="240" w:lineRule="auto"/>
                              </w:pPr>
                              <w:r w:rsidRPr="00CF2F31">
                                <w:t>Das Bruttoinlandsprodukt (BIP) misst die Produktion von Waren und Dienstleistungen im Inland nach Abzug aller Vorleistungen. Es ist in erster Linie ein Produktionsmaß. Das Bruttoinlandsprodukt errechnet sich als Summe der Bruttowertschöpfung aller Wirtschaftsbereiche zuzüglich des Saldos von Gütersteuern und Gütersubventionen.</w:t>
                              </w:r>
                            </w:p>
                            <w:p w:rsidR="001312CA" w:rsidRPr="00DC1AF0" w:rsidRDefault="001312CA" w:rsidP="001312CA">
                              <w:pPr>
                                <w:pStyle w:val="Textfeld"/>
                                <w:shd w:val="clear" w:color="auto" w:fill="D9D9D9"/>
                                <w:spacing w:line="240" w:lineRule="auto"/>
                                <w:jc w:val="both"/>
                                <w:rPr>
                                  <w:color w:val="auto"/>
                                </w:rPr>
                              </w:pPr>
                              <w:r>
                                <w:rPr>
                                  <w:color w:val="auto"/>
                                </w:rPr>
                                <w:t>(aus Gabler Wirtschaftslexikon)</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13" name="Bild 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page">
                  <wp14:pctWidth>0</wp14:pctWidth>
                </wp14:sizeRelH>
                <wp14:sizeRelV relativeFrom="page">
                  <wp14:pctHeight>0</wp14:pctHeight>
                </wp14:sizeRelV>
              </wp:anchor>
            </w:drawing>
          </mc:Choice>
          <mc:Fallback>
            <w:pict>
              <v:group w14:anchorId="6B5EC7A5" id="_x0000_s1029" style="position:absolute;left:0;text-align:left;margin-left:.4pt;margin-top:3.8pt;width:425.15pt;height:145.3pt;z-index:251675648;mso-position-horizontal-relative:text;mso-position-vertical-relative:text" coordsize="53998,19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">
                <v:shape id="Textfeld 5" o:spid="_x0000_s1030" type="#_x0000_t202" style="position:absolute;width:53998;height:19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" fillcolor="#d9d9d9" stroked="f">
                  <v:textbox style="mso-fit-shape-to-text:t" inset="20mm,5mm,15mm,5mm">
                    <w:txbxContent>
                      <w:p w:rsidR="001312CA" w:rsidRPr="00CF2F31" w:rsidRDefault="001312CA" w:rsidP="001312CA">
                        <w:pPr>
                          <w:pStyle w:val="Textfeld"/>
                          <w:shd w:val="clear" w:color="auto" w:fill="D9D9D9"/>
                          <w:jc w:val="both"/>
                          <w:rPr>
                            <w:rStyle w:val="Fett"/>
                            <w:color w:val="auto"/>
                          </w:rPr>
                        </w:pPr>
                        <w:r w:rsidRPr="00CF2F31">
                          <w:rPr>
                            <w:rStyle w:val="Fett"/>
                            <w:color w:val="auto"/>
                          </w:rPr>
                          <w:t>BIP (Bruttoinlandsprodukt)</w:t>
                        </w:r>
                      </w:p>
                      <w:p w:rsidR="001312CA" w:rsidRPr="00CF2F31" w:rsidRDefault="001312CA" w:rsidP="001312CA">
                        <w:pPr>
                          <w:spacing w:line="240" w:lineRule="auto"/>
                        </w:pPr>
                        <w:r w:rsidRPr="00CF2F31">
                          <w:t>Das Bruttoinlandsprodukt (BIP) misst die Produktion von Waren und Dienstleistungen im Inland nach Abzug aller Vorleistungen. Es ist in erster Linie ein Produktionsmaß. Das Bruttoinlandsprodukt errechnet sich als Summe der Bruttowertschöpfung aller Wirtschaftsbereiche zuzüglich des Saldos von Gütersteuern und Gütersubventionen.</w:t>
                        </w:r>
                      </w:p>
                      <w:p w:rsidR="001312CA" w:rsidRPr="00DC1AF0" w:rsidRDefault="001312CA" w:rsidP="001312CA">
                        <w:pPr>
                          <w:pStyle w:val="Textfeld"/>
                          <w:shd w:val="clear" w:color="auto" w:fill="D9D9D9"/>
                          <w:spacing w:line="240" w:lineRule="auto"/>
                          <w:jc w:val="both"/>
                          <w:rPr>
                            <w:color w:val="auto"/>
                          </w:rPr>
                        </w:pPr>
                        <w:r>
                          <w:rPr>
                            <w:color w:val="auto"/>
                          </w:rPr>
                          <w:t>(aus Gabler Wirtschaftslexikon)</w:t>
                        </w:r>
                      </w:p>
                    </w:txbxContent>
                  </v:textbox>
                </v:shape>
                <v:shape id="Bild 6" o:spid="_x0000_s1031"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">
                  <v:imagedata r:id="rId24" o:title=""/>
                  <v:path arrowok="t"/>
                </v:shape>
                <w10:wrap type="through"/>
              </v:group>
            </w:pict>
          </mc:Fallback>
        </mc:AlternateContent>
      </w:r>
      <w:r w:rsidRPr="001312CA">
        <w:rPr>
          <w:rFonts w:eastAsia="MS PGothic" w:cs="Tahoma"/>
          <w:szCs w:val="22"/>
          <w:lang w:eastAsia="de-DE"/>
        </w:rPr>
        <w:t>Endeffekt zeigt diese Diskussion, wie so oft, dass man die verschiedenen Statistiken unterschiedlich auslegen kann und man versuchen sollte, sich ein komplettes Bild zu machen.</w:t>
      </w:r>
    </w:p>
    <w:p w:rsidR="001312CA" w:rsidRPr="001312CA" w:rsidRDefault="001312CA" w:rsidP="001312CA">
      <w:pPr>
        <w:tabs>
          <w:tab w:val="left" w:pos="4236"/>
        </w:tabs>
        <w:spacing w:after="0" w:line="280" w:lineRule="atLeast"/>
        <w:rPr>
          <w:rFonts w:eastAsia="MS PGothic" w:cs="Tahoma"/>
          <w:szCs w:val="22"/>
          <w:lang w:eastAsia="de-DE"/>
        </w:rPr>
      </w:pPr>
    </w:p>
    <w:p w:rsidR="001312CA" w:rsidRPr="001312CA" w:rsidRDefault="001312CA" w:rsidP="001312CA">
      <w:pPr>
        <w:tabs>
          <w:tab w:val="left" w:pos="2257"/>
        </w:tabs>
        <w:spacing w:after="0" w:line="280" w:lineRule="atLeast"/>
        <w:rPr>
          <w:rFonts w:eastAsia="MS PGothic" w:cs="Tahoma"/>
          <w:szCs w:val="22"/>
          <w:lang w:eastAsia="de-DE"/>
        </w:rPr>
      </w:pPr>
      <w:r w:rsidRPr="001312CA">
        <w:rPr>
          <w:rFonts w:eastAsia="MS PGothic" w:cs="Tahoma"/>
          <w:szCs w:val="22"/>
          <w:lang w:eastAsia="de-DE"/>
        </w:rPr>
        <w:t>Um das Marktumfeld wirklich verstehen zu können, muss man sich zunächst die Aufteilung der Kosten etwas genauer anschauen. Im Prinzip kann man sich vorstellen, dass es einen „Topf“ an Geld gibt, aus dem das Gesundheitssystem</w:t>
      </w:r>
      <w:r w:rsidRPr="001312CA">
        <w:rPr>
          <w:rFonts w:eastAsia="MS PGothic" w:cs="Tahoma"/>
          <w:b/>
          <w:szCs w:val="22"/>
          <w:lang w:eastAsia="de-DE"/>
        </w:rPr>
        <w:t xml:space="preserve"> </w:t>
      </w:r>
      <w:r w:rsidRPr="001312CA">
        <w:rPr>
          <w:rFonts w:eastAsia="MS PGothic" w:cs="Tahoma"/>
          <w:szCs w:val="22"/>
          <w:lang w:eastAsia="de-DE"/>
        </w:rPr>
        <w:t xml:space="preserve">bezahlt werden muss. Dieser Topf muss zwischen allen Beteiligten verteilt werden. Zum Teil geschieht dies über Verhandlungen, z.B. zwischen den Spitzenverbänden und dem Gesundheitsministerium, zum Teil geschieht dies indirekt wie z.B. durch die Regierung, die den pharmazeutischen Preis durch das </w:t>
      </w:r>
      <w:r w:rsidRPr="001312CA">
        <w:rPr>
          <w:rFonts w:eastAsia="MS PGothic" w:cs="Tahoma"/>
          <w:b/>
          <w:szCs w:val="22"/>
          <w:lang w:eastAsia="de-DE"/>
        </w:rPr>
        <w:t>AMNOG</w:t>
      </w:r>
      <w:r w:rsidRPr="001312CA">
        <w:rPr>
          <w:rFonts w:eastAsia="MS PGothic" w:cs="Tahoma"/>
          <w:szCs w:val="22"/>
          <w:lang w:eastAsia="de-DE"/>
        </w:rPr>
        <w:t xml:space="preserve"> oder beispielsweise Rabattverträgen regelt. Wie sich die Kosten dann letztlich beispielsweise im Jahr 2016 aufgeteilt haben, zeigt Abbildung 04.</w:t>
      </w:r>
    </w:p>
    <w:p w:rsidR="001312CA" w:rsidRPr="001312CA" w:rsidRDefault="001312CA" w:rsidP="001312CA">
      <w:pPr>
        <w:tabs>
          <w:tab w:val="left" w:pos="2257"/>
        </w:tabs>
        <w:spacing w:after="0" w:line="280" w:lineRule="atLeast"/>
        <w:rPr>
          <w:rFonts w:eastAsia="MS PGothic" w:cs="Tahoma"/>
          <w:szCs w:val="22"/>
          <w:lang w:eastAsia="de-DE"/>
        </w:rPr>
      </w:pPr>
      <w:r w:rsidRPr="001312CA">
        <w:rPr>
          <w:rFonts w:eastAsia="MS PGothic" w:cs="Times New Roman"/>
          <w:noProof/>
          <w:lang w:eastAsia="de-DE"/>
        </w:rPr>
        <mc:AlternateContent>
          <mc:Choice Requires="wpg">
            <w:drawing>
              <wp:anchor distT="0" distB="0" distL="114300" distR="114300" simplePos="0" relativeHeight="251676672" behindDoc="0" locked="0" layoutInCell="1" allowOverlap="1" wp14:anchorId="6DF97F33" wp14:editId="1791CA34">
                <wp:simplePos x="0" y="0"/>
                <wp:positionH relativeFrom="column">
                  <wp:posOffset>3175</wp:posOffset>
                </wp:positionH>
                <wp:positionV relativeFrom="paragraph">
                  <wp:posOffset>187960</wp:posOffset>
                </wp:positionV>
                <wp:extent cx="5399565" cy="1782400"/>
                <wp:effectExtent l="0" t="0" r="0" b="8890"/>
                <wp:wrapThrough wrapText="bothSides">
                  <wp:wrapPolygon edited="0">
                    <wp:start x="0" y="0"/>
                    <wp:lineTo x="0" y="21477"/>
                    <wp:lineTo x="21491" y="21477"/>
                    <wp:lineTo x="21491" y="0"/>
                    <wp:lineTo x="0" y="0"/>
                  </wp:wrapPolygon>
                </wp:wrapThrough>
                <wp:docPr id="514"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782400"/>
                          <a:chOff x="0" y="0"/>
                          <a:chExt cx="5399725" cy="1880748"/>
                        </a:xfrm>
                      </wpg:grpSpPr>
                      <wps:wsp>
                        <wps:cNvPr id="527" name="Textfeld 5"/>
                        <wps:cNvSpPr txBox="1"/>
                        <wps:spPr>
                          <a:xfrm>
                            <a:off x="0" y="0"/>
                            <a:ext cx="5399725" cy="1880748"/>
                          </a:xfrm>
                          <a:prstGeom prst="rect">
                            <a:avLst/>
                          </a:prstGeom>
                          <a:solidFill>
                            <a:sysClr val="window" lastClr="FFFFFF">
                              <a:lumMod val="85000"/>
                            </a:sys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312CA" w:rsidRPr="00CF2F31" w:rsidRDefault="001312CA" w:rsidP="001312CA">
                              <w:pPr>
                                <w:pStyle w:val="Textfeld"/>
                                <w:shd w:val="clear" w:color="auto" w:fill="D9D9D9"/>
                                <w:jc w:val="both"/>
                                <w:rPr>
                                  <w:rStyle w:val="Fett"/>
                                  <w:color w:val="auto"/>
                                </w:rPr>
                              </w:pPr>
                              <w:r w:rsidRPr="00CF2F31">
                                <w:rPr>
                                  <w:rStyle w:val="Fett"/>
                                  <w:color w:val="auto"/>
                                </w:rPr>
                                <w:t>AMNOG</w:t>
                              </w:r>
                            </w:p>
                            <w:p w:rsidR="001312CA" w:rsidRPr="00DC1AF0" w:rsidRDefault="001312CA" w:rsidP="001312CA">
                              <w:pPr>
                                <w:pStyle w:val="Textfeld"/>
                                <w:shd w:val="clear" w:color="auto" w:fill="D9D9D9"/>
                                <w:jc w:val="both"/>
                                <w:rPr>
                                  <w:color w:val="auto"/>
                                </w:rPr>
                              </w:pPr>
                              <w:r>
                                <w:rPr>
                                  <w:color w:val="auto"/>
                                </w:rPr>
                                <w:t xml:space="preserve">Das </w:t>
                              </w:r>
                              <w:r w:rsidRPr="00CF2F31">
                                <w:rPr>
                                  <w:color w:val="auto"/>
                                </w:rPr>
                                <w:t>Arzneimit</w:t>
                              </w:r>
                              <w:r>
                                <w:rPr>
                                  <w:color w:val="auto"/>
                                </w:rPr>
                                <w:t xml:space="preserve">telmarktneuordnungsgesetz, kurz </w:t>
                              </w:r>
                              <w:r w:rsidRPr="00CF2F31">
                                <w:rPr>
                                  <w:color w:val="auto"/>
                                </w:rPr>
                                <w:t>AMNOG, ist ein deutsches Gesetz, das zum 1.1.2011 in Kraft getreten ist. Es wurde am 22.12.2010 beschlossen und gehört zum Kreis der so genannten </w:t>
                              </w:r>
                              <w:hyperlink r:id="rId25" w:tooltip="Gesundheitsreform" w:history="1">
                                <w:r w:rsidRPr="00CF2F31">
                                  <w:rPr>
                                    <w:color w:val="auto"/>
                                  </w:rPr>
                                  <w:t>Gesundheitsreformen</w:t>
                                </w:r>
                              </w:hyperlink>
                              <w:r w:rsidRPr="00CF2F31">
                                <w:rPr>
                                  <w:color w:val="auto"/>
                                </w:rPr>
                                <w:t xml:space="preserve">. </w:t>
                              </w:r>
                              <w:r>
                                <w:rPr>
                                  <w:color w:val="auto"/>
                                </w:rPr>
                                <w:t>E</w:t>
                              </w:r>
                              <w:r w:rsidRPr="00CF2F31">
                                <w:rPr>
                                  <w:color w:val="auto"/>
                                </w:rPr>
                                <w:t>in zentrales Element ist di</w:t>
                              </w:r>
                              <w:r>
                                <w:rPr>
                                  <w:color w:val="auto"/>
                                </w:rPr>
                                <w:t xml:space="preserve">e verbindliche Einführung einer </w:t>
                              </w:r>
                              <w:hyperlink r:id="rId26" w:tooltip="Nutzenbewertung" w:history="1">
                                <w:r w:rsidRPr="00CF2F31">
                                  <w:rPr>
                                    <w:color w:val="auto"/>
                                  </w:rPr>
                                  <w:t>Nutzenbewertung</w:t>
                                </w:r>
                              </w:hyperlink>
                              <w:r>
                                <w:rPr>
                                  <w:color w:val="auto"/>
                                </w:rPr>
                                <w:t xml:space="preserve"> </w:t>
                              </w:r>
                              <w:r w:rsidRPr="00CF2F31">
                                <w:rPr>
                                  <w:color w:val="auto"/>
                                </w:rPr>
                                <w:t>für neue</w:t>
                              </w:r>
                              <w:r>
                                <w:rPr>
                                  <w:color w:val="auto"/>
                                </w:rPr>
                                <w:t xml:space="preserve"> </w:t>
                              </w:r>
                              <w:hyperlink r:id="rId27" w:tooltip="Arzneistoff" w:history="1">
                                <w:r w:rsidRPr="00CF2F31">
                                  <w:rPr>
                                    <w:color w:val="auto"/>
                                  </w:rPr>
                                  <w:t>Arzneistoffe</w:t>
                                </w:r>
                              </w:hyperlink>
                              <w:r>
                                <w:rPr>
                                  <w:color w:val="auto"/>
                                </w:rPr>
                                <w:t xml:space="preserve">, die durch den </w:t>
                              </w:r>
                              <w:hyperlink r:id="rId28" w:tooltip="Gemeinsamer Bundesausschuss" w:history="1">
                                <w:r w:rsidRPr="00CF2F31">
                                  <w:rPr>
                                    <w:color w:val="auto"/>
                                  </w:rPr>
                                  <w:t>Gemeinsamen Bundesausschuss</w:t>
                                </w:r>
                              </w:hyperlink>
                              <w:r>
                                <w:rPr>
                                  <w:color w:val="auto"/>
                                </w:rPr>
                                <w:t xml:space="preserve"> (G</w:t>
                              </w:r>
                              <w:r>
                                <w:rPr>
                                  <w:color w:val="auto"/>
                                </w:rPr>
                                <w:noBreakHyphen/>
                              </w:r>
                              <w:r w:rsidRPr="00CF2F31">
                                <w:rPr>
                                  <w:color w:val="auto"/>
                                </w:rPr>
                                <w:t>BA) bzw. das </w:t>
                              </w:r>
                              <w:hyperlink r:id="rId29" w:tooltip="IQWiG" w:history="1">
                                <w:r w:rsidRPr="00CF2F31">
                                  <w:rPr>
                                    <w:color w:val="auto"/>
                                  </w:rPr>
                                  <w:t>IQWiG</w:t>
                                </w:r>
                              </w:hyperlink>
                              <w:r>
                                <w:rPr>
                                  <w:color w:val="auto"/>
                                </w:rPr>
                                <w:t> vorgenommen wird.</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528" name="Bild 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page">
                  <wp14:pctWidth>0</wp14:pctWidth>
                </wp14:sizeRelH>
                <wp14:sizeRelV relativeFrom="page">
                  <wp14:pctHeight>0</wp14:pctHeight>
                </wp14:sizeRelV>
              </wp:anchor>
            </w:drawing>
          </mc:Choice>
          <mc:Fallback>
            <w:pict>
              <v:group w14:anchorId="6DF97F33" id="_x0000_s1032" style="position:absolute;left:0;text-align:left;margin-left:.25pt;margin-top:14.8pt;width:425.15pt;height:140.35pt;z-index:251676672;mso-position-horizontal-relative:text;mso-position-vertical-relative:text" coordsize="53997,18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">
                <v:shape id="Textfeld 5" o:spid="_x0000_s1033" type="#_x0000_t202" style="position:absolute;width:53997;height:1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" fillcolor="#d9d9d9" stroked="f">
                  <v:textbox style="mso-fit-shape-to-text:t" inset="20mm,5mm,15mm,5mm">
                    <w:txbxContent>
                      <w:p w:rsidR="001312CA" w:rsidRPr="00CF2F31" w:rsidRDefault="001312CA" w:rsidP="001312CA">
                        <w:pPr>
                          <w:pStyle w:val="Textfeld"/>
                          <w:shd w:val="clear" w:color="auto" w:fill="D9D9D9"/>
                          <w:jc w:val="both"/>
                          <w:rPr>
                            <w:rStyle w:val="Fett"/>
                            <w:color w:val="auto"/>
                          </w:rPr>
                        </w:pPr>
                        <w:r w:rsidRPr="00CF2F31">
                          <w:rPr>
                            <w:rStyle w:val="Fett"/>
                            <w:color w:val="auto"/>
                          </w:rPr>
                          <w:t>AMNOG</w:t>
                        </w:r>
                      </w:p>
                      <w:p w:rsidR="001312CA" w:rsidRPr="00DC1AF0" w:rsidRDefault="001312CA" w:rsidP="001312CA">
                        <w:pPr>
                          <w:pStyle w:val="Textfeld"/>
                          <w:shd w:val="clear" w:color="auto" w:fill="D9D9D9"/>
                          <w:jc w:val="both"/>
                          <w:rPr>
                            <w:color w:val="auto"/>
                          </w:rPr>
                        </w:pPr>
                        <w:r>
                          <w:rPr>
                            <w:color w:val="auto"/>
                          </w:rPr>
                          <w:t xml:space="preserve">Das </w:t>
                        </w:r>
                        <w:r w:rsidRPr="00CF2F31">
                          <w:rPr>
                            <w:color w:val="auto"/>
                          </w:rPr>
                          <w:t>Arzneimit</w:t>
                        </w:r>
                        <w:r>
                          <w:rPr>
                            <w:color w:val="auto"/>
                          </w:rPr>
                          <w:t xml:space="preserve">telmarktneuordnungsgesetz, kurz </w:t>
                        </w:r>
                        <w:r w:rsidRPr="00CF2F31">
                          <w:rPr>
                            <w:color w:val="auto"/>
                          </w:rPr>
                          <w:t>AMNOG, ist ein deutsches Gesetz, das zum 1.1.2011 in Kraft getreten ist. Es wurde am 22.12.2010 beschlossen und gehört zum Kreis der so genannten </w:t>
                        </w:r>
                        <w:hyperlink r:id="rId30" w:tooltip="Gesundheitsreform" w:history="1">
                          <w:r w:rsidRPr="00CF2F31">
                            <w:rPr>
                              <w:color w:val="auto"/>
                            </w:rPr>
                            <w:t>Gesundheitsreformen</w:t>
                          </w:r>
                        </w:hyperlink>
                        <w:r w:rsidRPr="00CF2F31">
                          <w:rPr>
                            <w:color w:val="auto"/>
                          </w:rPr>
                          <w:t xml:space="preserve">. </w:t>
                        </w:r>
                        <w:r>
                          <w:rPr>
                            <w:color w:val="auto"/>
                          </w:rPr>
                          <w:t>E</w:t>
                        </w:r>
                        <w:r w:rsidRPr="00CF2F31">
                          <w:rPr>
                            <w:color w:val="auto"/>
                          </w:rPr>
                          <w:t>in zentrales Element ist di</w:t>
                        </w:r>
                        <w:r>
                          <w:rPr>
                            <w:color w:val="auto"/>
                          </w:rPr>
                          <w:t xml:space="preserve">e verbindliche Einführung einer </w:t>
                        </w:r>
                        <w:hyperlink r:id="rId31" w:tooltip="Nutzenbewertung" w:history="1">
                          <w:r w:rsidRPr="00CF2F31">
                            <w:rPr>
                              <w:color w:val="auto"/>
                            </w:rPr>
                            <w:t>Nutzenbewertung</w:t>
                          </w:r>
                        </w:hyperlink>
                        <w:r>
                          <w:rPr>
                            <w:color w:val="auto"/>
                          </w:rPr>
                          <w:t xml:space="preserve"> </w:t>
                        </w:r>
                        <w:r w:rsidRPr="00CF2F31">
                          <w:rPr>
                            <w:color w:val="auto"/>
                          </w:rPr>
                          <w:t>für neue</w:t>
                        </w:r>
                        <w:r>
                          <w:rPr>
                            <w:color w:val="auto"/>
                          </w:rPr>
                          <w:t xml:space="preserve"> </w:t>
                        </w:r>
                        <w:hyperlink r:id="rId32" w:tooltip="Arzneistoff" w:history="1">
                          <w:r w:rsidRPr="00CF2F31">
                            <w:rPr>
                              <w:color w:val="auto"/>
                            </w:rPr>
                            <w:t>Arzneistoffe</w:t>
                          </w:r>
                        </w:hyperlink>
                        <w:r>
                          <w:rPr>
                            <w:color w:val="auto"/>
                          </w:rPr>
                          <w:t xml:space="preserve">, die durch den </w:t>
                        </w:r>
                        <w:hyperlink r:id="rId33" w:tooltip="Gemeinsamer Bundesausschuss" w:history="1">
                          <w:r w:rsidRPr="00CF2F31">
                            <w:rPr>
                              <w:color w:val="auto"/>
                            </w:rPr>
                            <w:t>Gemeinsamen Bundesausschuss</w:t>
                          </w:r>
                        </w:hyperlink>
                        <w:r>
                          <w:rPr>
                            <w:color w:val="auto"/>
                          </w:rPr>
                          <w:t xml:space="preserve"> (G</w:t>
                        </w:r>
                        <w:r>
                          <w:rPr>
                            <w:color w:val="auto"/>
                          </w:rPr>
                          <w:noBreakHyphen/>
                        </w:r>
                        <w:r w:rsidRPr="00CF2F31">
                          <w:rPr>
                            <w:color w:val="auto"/>
                          </w:rPr>
                          <w:t>BA) bzw. das </w:t>
                        </w:r>
                        <w:hyperlink r:id="rId34" w:tooltip="IQWiG" w:history="1">
                          <w:r w:rsidRPr="00CF2F31">
                            <w:rPr>
                              <w:color w:val="auto"/>
                            </w:rPr>
                            <w:t>IQWiG</w:t>
                          </w:r>
                        </w:hyperlink>
                        <w:r>
                          <w:rPr>
                            <w:color w:val="auto"/>
                          </w:rPr>
                          <w:t> vorgenommen wird.</w:t>
                        </w:r>
                      </w:p>
                    </w:txbxContent>
                  </v:textbox>
                </v:shape>
                <v:shape id="Bild 6" o:spid="_x0000_s1034"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">
                  <v:imagedata r:id="rId24" o:title=""/>
                  <v:path arrowok="t"/>
                </v:shape>
                <w10:wrap type="through"/>
              </v:group>
            </w:pict>
          </mc:Fallback>
        </mc:AlternateContent>
      </w:r>
    </w:p>
    <w:p w:rsidR="00687339" w:rsidRPr="00687339" w:rsidRDefault="00687339" w:rsidP="00687339">
      <w:pPr>
        <w:spacing w:after="0" w:line="280" w:lineRule="atLeast"/>
        <w:rPr>
          <w:rFonts w:eastAsia="MS PGothic" w:cs="Times New Roman"/>
          <w:lang w:eastAsia="de-DE"/>
        </w:rPr>
      </w:pPr>
    </w:p>
    <w:p w:rsidR="00A223E3" w:rsidRDefault="00A223E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sectPr w:rsidR="00A223E3" w:rsidSect="008A2949">
          <w:headerReference w:type="default" r:id="rId35"/>
          <w:headerReference w:type="first" r:id="rId36"/>
          <w:pgSz w:w="11906" w:h="16838"/>
          <w:pgMar w:top="1417" w:right="1417" w:bottom="1134" w:left="1417" w:header="708" w:footer="708" w:gutter="0"/>
          <w:cols w:space="708"/>
          <w:titlePg/>
          <w:docGrid w:linePitch="360"/>
        </w:sect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lastRenderedPageBreak/>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7"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38"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D26BDB" w:rsidRDefault="000A2534" w:rsidP="00D26BDB">
      <w:pPr>
        <w:widowControl w:val="0"/>
        <w:autoSpaceDE w:val="0"/>
        <w:autoSpaceDN w:val="0"/>
        <w:spacing w:after="0" w:line="240" w:lineRule="auto"/>
        <w:ind w:left="538" w:right="4989"/>
        <w:jc w:val="left"/>
        <w:rPr>
          <w:rFonts w:eastAsia="Tahoma" w:cs="Tahoma"/>
          <w:szCs w:val="22"/>
          <w:lang w:eastAsia="de-DE" w:bidi="de-DE"/>
        </w:rPr>
      </w:pPr>
      <w:hyperlink r:id="rId39"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40" w:history="1">
        <w:r w:rsidR="00D26BDB" w:rsidRPr="00D26BDB">
          <w:rPr>
            <w:rStyle w:val="Hyperlink"/>
            <w:rFonts w:eastAsia="Tahoma" w:cs="Tahoma"/>
            <w:color w:val="auto"/>
            <w:szCs w:val="22"/>
            <w:u w:val="none"/>
            <w:lang w:eastAsia="de-DE" w:bidi="de-DE"/>
          </w:rPr>
          <w:t>www.hochschule-bc.de</w:t>
        </w:r>
      </w:hyperlink>
    </w:p>
    <w:p w:rsidR="00D26BDB" w:rsidRPr="002E6F9E" w:rsidRDefault="00D26BDB" w:rsidP="00D26BDB">
      <w:pPr>
        <w:widowControl w:val="0"/>
        <w:autoSpaceDE w:val="0"/>
        <w:autoSpaceDN w:val="0"/>
        <w:spacing w:after="0" w:line="240" w:lineRule="auto"/>
        <w:ind w:left="538" w:right="4989"/>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D26BDB"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Weiterbildung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(BM-Wiss)“ wurde entwickelt im Projekt Cross-Over, das aus Mitteln des Ministeriums für Wissenschaft, Forschung und Kunst des Landes Baden-Württemberg gefördert und aus dem Europäischen Sozialfonds der Europäischen Union kofinanziert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4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34" w:rsidRDefault="000A2534" w:rsidP="00D73C5C">
      <w:pPr>
        <w:spacing w:after="0" w:line="240" w:lineRule="auto"/>
      </w:pPr>
      <w:r>
        <w:separator/>
      </w:r>
    </w:p>
  </w:endnote>
  <w:endnote w:type="continuationSeparator" w:id="0">
    <w:p w:rsidR="000A2534" w:rsidRDefault="000A2534"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41" w:rsidRDefault="001326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D47689">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44761"/>
      <w:docPartObj>
        <w:docPartGallery w:val="Page Numbers (Bottom of Page)"/>
        <w:docPartUnique/>
      </w:docPartObj>
    </w:sdtPr>
    <w:sdtEndPr/>
    <w:sdtContent>
      <w:p w:rsidR="0055341F" w:rsidRDefault="0055341F" w:rsidP="0055341F">
        <w:pPr>
          <w:pStyle w:val="Fuzeile"/>
          <w:jc w:val="right"/>
        </w:pPr>
        <w:r>
          <w:t>[</w:t>
        </w:r>
        <w:r>
          <w:fldChar w:fldCharType="begin"/>
        </w:r>
        <w:r>
          <w:instrText>PAGE   \* MERGEFORMAT</w:instrText>
        </w:r>
        <w:r>
          <w:fldChar w:fldCharType="separate"/>
        </w:r>
        <w:r w:rsidR="00D47689">
          <w:rPr>
            <w:noProof/>
          </w:rPr>
          <w:t>1</w:t>
        </w:r>
        <w:r>
          <w:fldChar w:fldCharType="end"/>
        </w:r>
        <w:r>
          <w:t>]</w:t>
        </w:r>
      </w:p>
    </w:sdtContent>
  </w:sdt>
  <w:p w:rsidR="00A223E3" w:rsidRDefault="00A2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34" w:rsidRDefault="000A2534" w:rsidP="00D73C5C">
      <w:pPr>
        <w:spacing w:after="0" w:line="240" w:lineRule="auto"/>
      </w:pPr>
      <w:r>
        <w:separator/>
      </w:r>
    </w:p>
  </w:footnote>
  <w:footnote w:type="continuationSeparator" w:id="0">
    <w:p w:rsidR="000A2534" w:rsidRDefault="000A2534" w:rsidP="00D73C5C">
      <w:pPr>
        <w:spacing w:after="0" w:line="240" w:lineRule="auto"/>
      </w:pPr>
      <w:r>
        <w:continuationSeparator/>
      </w:r>
    </w:p>
  </w:footnote>
  <w:footnote w:id="1">
    <w:p w:rsidR="001312CA" w:rsidRDefault="001312CA" w:rsidP="001312CA">
      <w:pPr>
        <w:pStyle w:val="Funotentext"/>
      </w:pPr>
      <w:r>
        <w:rPr>
          <w:rStyle w:val="Funotenzeichen"/>
        </w:rPr>
        <w:footnoteRef/>
      </w:r>
      <w:r>
        <w:t xml:space="preserve"> </w:t>
      </w:r>
      <w:r w:rsidRPr="00124BF6">
        <w:rPr>
          <w:color w:val="7F7F7F"/>
          <w:sz w:val="19"/>
          <w:szCs w:val="19"/>
        </w:rPr>
        <w:t>Abbildung basiert auf einer Darstellung des BPI ( Daten von Insight Health 2017).</w:t>
      </w:r>
    </w:p>
  </w:footnote>
  <w:footnote w:id="2">
    <w:p w:rsidR="001312CA" w:rsidRDefault="001312CA" w:rsidP="001312CA">
      <w:pPr>
        <w:pStyle w:val="Funotentext"/>
      </w:pPr>
      <w:r>
        <w:rPr>
          <w:rStyle w:val="Funotenzeichen"/>
        </w:rPr>
        <w:footnoteRef/>
      </w:r>
      <w:r>
        <w:t xml:space="preserve"> </w:t>
      </w:r>
      <w:r w:rsidRPr="00124BF6">
        <w:rPr>
          <w:color w:val="7F7F7F"/>
          <w:sz w:val="19"/>
          <w:szCs w:val="19"/>
        </w:rPr>
        <w:t>Abbildung basiert auf einer Darstellung des BPI ( Daten von Insight Health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41" w:rsidRDefault="001326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A223E3" w:rsidP="00A223E3">
    <w:pPr>
      <w:pStyle w:val="Kopfzeile"/>
      <w:tabs>
        <w:tab w:val="clear" w:pos="4536"/>
      </w:tabs>
      <w:ind w:left="-680" w:right="-680"/>
      <w:jc w:val="right"/>
    </w:pPr>
    <w:r>
      <w:t>Modulinhalte</w:t>
    </w:r>
    <w:r w:rsidR="008A2949">
      <w:t xml:space="preserve">         </w:t>
    </w:r>
    <w:r>
      <w:t xml:space="preserve">                                           </w:t>
    </w:r>
    <w:r w:rsidR="00132641">
      <w:t xml:space="preserve">                 </w:t>
    </w:r>
    <w:r>
      <w:t xml:space="preserve">     </w:t>
    </w:r>
    <w:r w:rsidR="008A2949">
      <w:t xml:space="preserve">         </w:t>
    </w:r>
    <w:r w:rsidR="00132641" w:rsidRPr="00132641">
      <w:t>Key Account und Pharma-Marketing</w:t>
    </w:r>
  </w:p>
  <w:p w:rsidR="00C73F4E" w:rsidRPr="00C73F4E" w:rsidRDefault="00C73F4E" w:rsidP="00C73F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41" w:rsidRDefault="0013264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8A2949">
    <w:pPr>
      <w:pStyle w:val="Kopfzeile"/>
      <w:tabs>
        <w:tab w:val="clear" w:pos="4536"/>
      </w:tabs>
      <w:ind w:left="-680" w:right="-680"/>
      <w:jc w:val="right"/>
    </w:pPr>
    <w:r>
      <w:t xml:space="preserve">Leseprobe                                                          </w:t>
    </w:r>
    <w:r w:rsidR="00132641">
      <w:t xml:space="preserve">               </w:t>
    </w:r>
    <w:r>
      <w:t xml:space="preserve">            </w:t>
    </w:r>
    <w:r w:rsidR="00132641" w:rsidRPr="00132641">
      <w:t>Key Account und Pharma-Marketing</w:t>
    </w:r>
  </w:p>
  <w:p w:rsidR="00A223E3" w:rsidRPr="00C73F4E" w:rsidRDefault="00A223E3" w:rsidP="00C73F4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A223E3">
    <w:pPr>
      <w:pStyle w:val="Kopfzeile"/>
      <w:ind w:left="-680" w:right="-680"/>
    </w:pPr>
    <w:r>
      <w:t>Leseprobe</w:t>
    </w:r>
    <w:r w:rsidRPr="00A223E3">
      <w:t xml:space="preserve"> </w:t>
    </w:r>
    <w:r>
      <w:t xml:space="preserve">                        </w:t>
    </w:r>
    <w:r w:rsidRPr="00A223E3">
      <w:t xml:space="preserve">   </w:t>
    </w:r>
    <w:r>
      <w:t xml:space="preserve">    </w:t>
    </w:r>
    <w:r w:rsidRPr="00A223E3">
      <w:t xml:space="preserve">   </w:t>
    </w:r>
    <w:r>
      <w:t xml:space="preserve">                    </w:t>
    </w:r>
    <w:r w:rsidRPr="00A223E3">
      <w:t xml:space="preserve">        </w:t>
    </w:r>
    <w:r>
      <w:t xml:space="preserve">      </w:t>
    </w:r>
    <w:r w:rsidR="00132641">
      <w:t xml:space="preserve">              </w:t>
    </w:r>
    <w:r>
      <w:t xml:space="preserve">      </w:t>
    </w:r>
    <w:r w:rsidRPr="00A223E3">
      <w:t xml:space="preserve"> </w:t>
    </w:r>
    <w:r w:rsidR="00132641" w:rsidRPr="00132641">
      <w:t>Key Account und Pharma-Marketing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E3" w:rsidRDefault="00A223E3" w:rsidP="00725D5A">
    <w:pPr>
      <w:pStyle w:val="Kopfzeile"/>
      <w:ind w:left="-680" w:right="-680"/>
    </w:pPr>
    <w:r>
      <w:t>Beratung und Kontakt</w:t>
    </w:r>
    <w:r w:rsidRPr="00A223E3">
      <w:t xml:space="preserve"> </w:t>
    </w:r>
    <w:r>
      <w:t xml:space="preserve">                         </w:t>
    </w:r>
    <w:r w:rsidRPr="00A223E3">
      <w:t xml:space="preserve"> </w:t>
    </w:r>
    <w:r>
      <w:t xml:space="preserve">                                           </w:t>
    </w:r>
    <w:r w:rsidRPr="00A223E3">
      <w:t xml:space="preserve"> </w:t>
    </w:r>
    <w:r w:rsidR="00132641" w:rsidRPr="00132641">
      <w:t>Key Account und Pharma-Marketing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BB05BEE"/>
    <w:multiLevelType w:val="hybridMultilevel"/>
    <w:tmpl w:val="63E22EC6"/>
    <w:lvl w:ilvl="0" w:tplc="1AE06B80">
      <w:start w:val="10"/>
      <w:numFmt w:val="bullet"/>
      <w:lvlText w:val="-"/>
      <w:lvlJc w:val="left"/>
      <w:pPr>
        <w:ind w:left="720" w:hanging="360"/>
      </w:pPr>
      <w:rPr>
        <w:rFonts w:ascii="Tahoma" w:eastAsia="MS PGothic"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57C84"/>
    <w:rsid w:val="000663EF"/>
    <w:rsid w:val="00072E44"/>
    <w:rsid w:val="000A2534"/>
    <w:rsid w:val="00124BF6"/>
    <w:rsid w:val="001312CA"/>
    <w:rsid w:val="00132641"/>
    <w:rsid w:val="001407C7"/>
    <w:rsid w:val="00163E87"/>
    <w:rsid w:val="00175F7E"/>
    <w:rsid w:val="00217746"/>
    <w:rsid w:val="00286F67"/>
    <w:rsid w:val="002E6F9E"/>
    <w:rsid w:val="003D1C5E"/>
    <w:rsid w:val="005071DD"/>
    <w:rsid w:val="0055341F"/>
    <w:rsid w:val="00582404"/>
    <w:rsid w:val="005B54D6"/>
    <w:rsid w:val="00683737"/>
    <w:rsid w:val="00687339"/>
    <w:rsid w:val="00695260"/>
    <w:rsid w:val="00725D5A"/>
    <w:rsid w:val="007300CE"/>
    <w:rsid w:val="00732BD9"/>
    <w:rsid w:val="00735737"/>
    <w:rsid w:val="007449F1"/>
    <w:rsid w:val="008113C8"/>
    <w:rsid w:val="00843602"/>
    <w:rsid w:val="00886BAA"/>
    <w:rsid w:val="008A2949"/>
    <w:rsid w:val="008F1805"/>
    <w:rsid w:val="008F2B57"/>
    <w:rsid w:val="00963DC8"/>
    <w:rsid w:val="00973E8E"/>
    <w:rsid w:val="00984807"/>
    <w:rsid w:val="009D2751"/>
    <w:rsid w:val="009F1487"/>
    <w:rsid w:val="00A223E3"/>
    <w:rsid w:val="00A27D71"/>
    <w:rsid w:val="00A57358"/>
    <w:rsid w:val="00B51FEF"/>
    <w:rsid w:val="00B64C3A"/>
    <w:rsid w:val="00B82CF9"/>
    <w:rsid w:val="00B87945"/>
    <w:rsid w:val="00C00945"/>
    <w:rsid w:val="00C73F4E"/>
    <w:rsid w:val="00CB1910"/>
    <w:rsid w:val="00CC4331"/>
    <w:rsid w:val="00D24692"/>
    <w:rsid w:val="00D26BDB"/>
    <w:rsid w:val="00D47689"/>
    <w:rsid w:val="00D57261"/>
    <w:rsid w:val="00D63EF3"/>
    <w:rsid w:val="00D73C5C"/>
    <w:rsid w:val="00D97523"/>
    <w:rsid w:val="00E357F9"/>
    <w:rsid w:val="00F652CE"/>
    <w:rsid w:val="00F7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D8FF"/>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qFormat/>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table" w:customStyle="1" w:styleId="HelleSchattierung1">
    <w:name w:val="Helle Schattierung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unotenzeichen">
    <w:name w:val="footnote reference"/>
    <w:uiPriority w:val="99"/>
    <w:unhideWhenUsed/>
    <w:rsid w:val="00687339"/>
    <w:rPr>
      <w:vertAlign w:val="superscript"/>
    </w:rPr>
  </w:style>
  <w:style w:type="table" w:customStyle="1" w:styleId="HelleSchattierung11">
    <w:name w:val="Helle Schattierung11"/>
    <w:basedOn w:val="NormaleTabelle"/>
    <w:uiPriority w:val="60"/>
    <w:rsid w:val="00687339"/>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feld">
    <w:name w:val="Textfeld"/>
    <w:basedOn w:val="Standard"/>
    <w:next w:val="Standard"/>
    <w:qFormat/>
    <w:rsid w:val="001312CA"/>
    <w:pPr>
      <w:spacing w:after="0" w:line="280" w:lineRule="atLeast"/>
      <w:jc w:val="left"/>
    </w:pPr>
    <w:rPr>
      <w:rFonts w:eastAsia="MS PGothic" w:cs="Times New Roman"/>
      <w:color w:val="FFFFFF"/>
      <w:lang w:eastAsia="de-DE"/>
    </w:rPr>
  </w:style>
  <w:style w:type="character" w:styleId="Fett">
    <w:name w:val="Strong"/>
    <w:aliases w:val="Auszeichnung"/>
    <w:uiPriority w:val="22"/>
    <w:qFormat/>
    <w:rsid w:val="001312CA"/>
    <w:rPr>
      <w:b/>
    </w:rPr>
  </w:style>
  <w:style w:type="table" w:customStyle="1" w:styleId="HelleSchattierung2">
    <w:name w:val="Helle Schattierung2"/>
    <w:basedOn w:val="NormaleTabelle"/>
    <w:next w:val="HelleSchattierung"/>
    <w:uiPriority w:val="60"/>
    <w:rsid w:val="001312CA"/>
    <w:pPr>
      <w:spacing w:after="0" w:line="240" w:lineRule="auto"/>
    </w:pPr>
    <w:rPr>
      <w:rFonts w:ascii="Calibri" w:eastAsia="MS PGothic"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
    <w:name w:val="Light Shading"/>
    <w:basedOn w:val="NormaleTabelle"/>
    <w:uiPriority w:val="60"/>
    <w:semiHidden/>
    <w:unhideWhenUsed/>
    <w:rsid w:val="001312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flexikon.doccheck.com/de/Nutzenbewertung" TargetMode="External"/><Relationship Id="rId39" Type="http://schemas.openxmlformats.org/officeDocument/2006/relationships/hyperlink" Target="mailto:bm-wiss@hochschule-bc.de" TargetMode="External"/><Relationship Id="rId34" Type="http://schemas.openxmlformats.org/officeDocument/2006/relationships/hyperlink" Target="https://flexikon.doccheck.com/de/IQWi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flexikon.doccheck.com/de/IQWi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hyperlink" Target="https://flexikon.doccheck.com/de/Arzneistoff" TargetMode="External"/><Relationship Id="rId37" Type="http://schemas.openxmlformats.org/officeDocument/2006/relationships/image" Target="media/image7.png"/><Relationship Id="rId40" Type="http://schemas.openxmlformats.org/officeDocument/2006/relationships/hyperlink" Target="http://www.hochschule-bc.d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s://flexikon.doccheck.com/de/Gemeinsamer_Bundesausschuss" TargetMode="External"/><Relationship Id="rId36"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hyperlink" Target="https://flexikon.doccheck.com/de/Nutzenbewertu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s://flexikon.doccheck.com/de/Arzneistoff" TargetMode="External"/><Relationship Id="rId30" Type="http://schemas.openxmlformats.org/officeDocument/2006/relationships/hyperlink" Target="https://flexikon.doccheck.com/de/Gesundheitsreform"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flexikon.doccheck.com/de/Gesundheitsreform" TargetMode="External"/><Relationship Id="rId33" Type="http://schemas.openxmlformats.org/officeDocument/2006/relationships/hyperlink" Target="https://flexikon.doccheck.com/de/Gemeinsamer_Bundesausschuss" TargetMode="External"/><Relationship Id="rId38"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45CB-FAF9-450A-A57F-31E1D9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6</cp:revision>
  <dcterms:created xsi:type="dcterms:W3CDTF">2020-04-29T09:54:00Z</dcterms:created>
  <dcterms:modified xsi:type="dcterms:W3CDTF">2020-05-06T05:15:00Z</dcterms:modified>
</cp:coreProperties>
</file>